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34" w:rsidRDefault="00C56741">
      <w:pPr>
        <w:pStyle w:val="Heading1"/>
        <w:spacing w:before="72" w:line="274" w:lineRule="exact"/>
      </w:pPr>
      <w:bookmarkStart w:id="0" w:name="_GoBack"/>
      <w:bookmarkEnd w:id="0"/>
      <w:r>
        <w:t>STATISTIKA VLADINIH FINANCIJA</w:t>
      </w:r>
    </w:p>
    <w:p w:rsidR="00042934" w:rsidRDefault="00C56741">
      <w:pPr>
        <w:pStyle w:val="BodyText"/>
        <w:spacing w:line="274" w:lineRule="exact"/>
        <w:ind w:left="112"/>
        <w:jc w:val="both"/>
      </w:pPr>
      <w:r>
        <w:t>OPERACIJE OPĆE VLADE</w:t>
      </w:r>
    </w:p>
    <w:p w:rsidR="00042934" w:rsidRDefault="00C56741">
      <w:pPr>
        <w:pStyle w:val="BodyText"/>
        <w:ind w:left="112"/>
        <w:jc w:val="both"/>
      </w:pPr>
      <w:r>
        <w:t>/Kratak opis metodologije/</w:t>
      </w:r>
    </w:p>
    <w:p w:rsidR="00042934" w:rsidRDefault="00042934">
      <w:pPr>
        <w:pStyle w:val="BodyText"/>
        <w:spacing w:before="4"/>
      </w:pPr>
    </w:p>
    <w:p w:rsidR="00042934" w:rsidRDefault="00C56741">
      <w:pPr>
        <w:pStyle w:val="Heading1"/>
        <w:spacing w:before="1"/>
      </w:pPr>
      <w:r>
        <w:t>Uvod</w:t>
      </w:r>
    </w:p>
    <w:p w:rsidR="00042934" w:rsidRDefault="00042934">
      <w:pPr>
        <w:pStyle w:val="BodyText"/>
        <w:spacing w:before="6"/>
        <w:rPr>
          <w:b/>
          <w:sz w:val="23"/>
        </w:rPr>
      </w:pPr>
    </w:p>
    <w:p w:rsidR="00042934" w:rsidRDefault="00C56741">
      <w:pPr>
        <w:pStyle w:val="BodyText"/>
        <w:ind w:left="112" w:right="107"/>
        <w:jc w:val="both"/>
      </w:pPr>
      <w:r>
        <w:t>Ova napomena objašnjava svrhu statistike vladinih financija, naročito statističkih podataka u priloženim tablicama, metodologiju i izvore korištene pri kompiliranju statističkih podataka te buduće razvoje.</w:t>
      </w:r>
    </w:p>
    <w:p w:rsidR="00042934" w:rsidRDefault="00042934">
      <w:pPr>
        <w:pStyle w:val="BodyText"/>
        <w:spacing w:before="5"/>
      </w:pPr>
    </w:p>
    <w:p w:rsidR="00042934" w:rsidRDefault="00C56741">
      <w:pPr>
        <w:pStyle w:val="Heading1"/>
      </w:pPr>
      <w:r>
        <w:t>Svrha statistike vladinih financija</w:t>
      </w:r>
    </w:p>
    <w:p w:rsidR="00042934" w:rsidRDefault="00042934">
      <w:pPr>
        <w:pStyle w:val="BodyText"/>
        <w:spacing w:before="7"/>
        <w:rPr>
          <w:b/>
          <w:sz w:val="23"/>
        </w:rPr>
      </w:pPr>
    </w:p>
    <w:p w:rsidR="00042934" w:rsidRDefault="00C56741">
      <w:pPr>
        <w:pStyle w:val="BodyText"/>
        <w:ind w:left="112" w:right="109"/>
        <w:jc w:val="both"/>
      </w:pPr>
      <w:r>
        <w:t>Statistika vladinih financija (u daljnjem tekstu GFS) koja je dana u priloženim tablicama namijenjena je osiguravanju sveobuhvatnih statističkih podataka koji omogućavaju kreatorima vladine politike i analitičarima na konzistentan i sustavan način proučavanje razvoja u financijskim operacijama sektora vlade u BiH. Analitički se okvir GFS-a može koristiti za analiziranje operacija specifične razine i tran</w:t>
      </w:r>
      <w:r w:rsidR="00EB2212">
        <w:t>s</w:t>
      </w:r>
      <w:r>
        <w:t>akcija između različitih razina vlade, kao i ukupnog sektora opće vlade. Ovi se statistički podaci mogu koristiti za svrhe kao što su procjena veličine sektora opće vlade u ukupnoj ekonomiji; njezinog udjela u odnosu na ukupnu potražnju, ulaganje i štednju; utjecaj fiskalne politike na ekonomiju, uključujući korištenje resursa i zaduženost; porezno opterećenje</w:t>
      </w:r>
      <w:r w:rsidR="00337497">
        <w:t>,</w:t>
      </w:r>
      <w:r>
        <w:t xml:space="preserve"> itd.</w:t>
      </w:r>
    </w:p>
    <w:p w:rsidR="00042934" w:rsidRDefault="00042934">
      <w:pPr>
        <w:pStyle w:val="BodyText"/>
        <w:spacing w:before="1"/>
      </w:pPr>
    </w:p>
    <w:p w:rsidR="00042934" w:rsidRDefault="00C56741">
      <w:pPr>
        <w:pStyle w:val="BodyText"/>
        <w:ind w:left="112" w:right="107"/>
        <w:jc w:val="both"/>
      </w:pPr>
      <w:r>
        <w:t>Kako su podaci GFS-a utemeljeni na istom konceptualnom okviru kao i drugi makroekonomski statistički podaci, oni se izravno mogu usporediti s drugim makroekonomskim statističkim podacima, kao što su podaci nacionalnih računa, statistika platne bilance i monetarna statistika, na temelju statističkih standarda MMF-a.</w:t>
      </w:r>
    </w:p>
    <w:p w:rsidR="00042934" w:rsidRDefault="00042934">
      <w:pPr>
        <w:pStyle w:val="BodyText"/>
        <w:spacing w:before="5"/>
      </w:pPr>
    </w:p>
    <w:p w:rsidR="00042934" w:rsidRDefault="00C56741">
      <w:pPr>
        <w:pStyle w:val="Heading1"/>
      </w:pPr>
      <w:r>
        <w:t>Metodologija</w:t>
      </w:r>
    </w:p>
    <w:p w:rsidR="00042934" w:rsidRDefault="00042934">
      <w:pPr>
        <w:pStyle w:val="BodyText"/>
        <w:spacing w:before="7"/>
        <w:rPr>
          <w:b/>
          <w:sz w:val="23"/>
        </w:rPr>
      </w:pPr>
    </w:p>
    <w:p w:rsidR="00042934" w:rsidRDefault="00C56741">
      <w:pPr>
        <w:pStyle w:val="BodyText"/>
        <w:ind w:left="112" w:right="108"/>
        <w:jc w:val="both"/>
      </w:pPr>
      <w:r>
        <w:t>Osnovni je konceptualni okvir, koji se koristi za kompiliranje priloženih statističkih podataka, usko vezan za međunarodne standarde za GFS koje proizvodi MMF i koji su objavljeni u GFS Priručniku 20</w:t>
      </w:r>
      <w:r w:rsidR="0095287C">
        <w:t>14</w:t>
      </w:r>
      <w:r>
        <w:t xml:space="preserve">. Priručnik regulira sveoubuhvatni analitički okvir koji sustavno evidentira i sravnjuje i </w:t>
      </w:r>
      <w:r w:rsidR="00EE3FC4">
        <w:t>transak</w:t>
      </w:r>
      <w:r>
        <w:t xml:space="preserve">cije </w:t>
      </w:r>
      <w:r>
        <w:lastRenderedPageBreak/>
        <w:t xml:space="preserve">(operacije) i bilance stanja, prvenstveno koristeći akrualnu osnovu, više nego gotovinsku, u smislu vremena evidentiranja </w:t>
      </w:r>
      <w:r w:rsidR="00EE3FC4">
        <w:t>transak</w:t>
      </w:r>
      <w:r>
        <w:t>cija. Na osnov</w:t>
      </w:r>
      <w:r w:rsidR="00EE3FC4">
        <w:t>i</w:t>
      </w:r>
      <w:r>
        <w:t xml:space="preserve"> potreba za fiskalne analize, definirane su različite stavke za poravnanje (primjerice: neto operativno</w:t>
      </w:r>
      <w:r>
        <w:rPr>
          <w:spacing w:val="-7"/>
        </w:rPr>
        <w:t xml:space="preserve"> </w:t>
      </w:r>
      <w:r>
        <w:t>stanje).</w:t>
      </w:r>
    </w:p>
    <w:p w:rsidR="00042934" w:rsidRDefault="00042934">
      <w:pPr>
        <w:pStyle w:val="BodyText"/>
      </w:pPr>
    </w:p>
    <w:p w:rsidR="00042934" w:rsidRDefault="00C56741">
      <w:pPr>
        <w:pStyle w:val="BodyText"/>
        <w:spacing w:before="1"/>
        <w:ind w:left="112" w:right="113"/>
        <w:jc w:val="both"/>
      </w:pPr>
      <w:r>
        <w:t>Sukladno GFS metodologiji definirana su četiri osnovna statistička izvješća, tri se temelje na akru</w:t>
      </w:r>
      <w:r w:rsidR="00EE3FC4">
        <w:t>alnom računovodstvu (Operacije v</w:t>
      </w:r>
      <w:r>
        <w:t>lade, Ostali ekonomski t</w:t>
      </w:r>
      <w:r w:rsidR="00EE3FC4">
        <w:t>o</w:t>
      </w:r>
      <w:r>
        <w:t>kovi i Bilanca stanja), a jedan na gotovinskoj osnovi (Izvori i korištenje gotovine). Tablice u privitku odnose se na Izvješće o operacijama vlade. Izrada preostalih gorenavedenih statističkih izvješća u poptunosti ovisi o raspoloživosti potrebnih podataka, odnosno izvora podataka.</w:t>
      </w:r>
    </w:p>
    <w:p w:rsidR="00042934" w:rsidRDefault="00042934">
      <w:pPr>
        <w:jc w:val="both"/>
        <w:sectPr w:rsidR="00042934">
          <w:type w:val="continuous"/>
          <w:pgSz w:w="11910" w:h="16850"/>
          <w:pgMar w:top="1220" w:right="1040" w:bottom="280" w:left="1040" w:header="720" w:footer="720" w:gutter="0"/>
          <w:cols w:space="720"/>
        </w:sectPr>
      </w:pPr>
    </w:p>
    <w:p w:rsidR="00042934" w:rsidRDefault="00C56741">
      <w:pPr>
        <w:pStyle w:val="Heading1"/>
        <w:spacing w:before="68"/>
      </w:pPr>
      <w:r>
        <w:lastRenderedPageBreak/>
        <w:t>Sektorizacija vlade</w:t>
      </w:r>
    </w:p>
    <w:p w:rsidR="00042934" w:rsidRDefault="00042934">
      <w:pPr>
        <w:pStyle w:val="BodyText"/>
        <w:spacing w:before="7"/>
        <w:rPr>
          <w:b/>
          <w:sz w:val="23"/>
        </w:rPr>
      </w:pPr>
    </w:p>
    <w:p w:rsidR="00042934" w:rsidRDefault="00C56741">
      <w:pPr>
        <w:pStyle w:val="BodyText"/>
        <w:ind w:left="112" w:right="106"/>
        <w:jc w:val="both"/>
      </w:pPr>
      <w:r>
        <w:t xml:space="preserve">Priložene se tablice sa statističkim podacima o vladinim financijama odnose na </w:t>
      </w:r>
      <w:r w:rsidR="00EE3FC4">
        <w:t>transak</w:t>
      </w:r>
      <w:r>
        <w:t xml:space="preserve">cije sektora </w:t>
      </w:r>
      <w:r>
        <w:rPr>
          <w:i/>
        </w:rPr>
        <w:t xml:space="preserve">opće vlade </w:t>
      </w:r>
      <w:r>
        <w:t xml:space="preserve">bh. ekonomije i njezinih podsektora. Sukladno GFS Priručniku, sektor opće vlade definira se tako da obuhvaća sve entitete koji obavljaju funkcije vlade kao njihove osnovne djelatnosti. On ne obuhvaća poslovna poduzeća u vlasništvu vlade koja proizvode robe i/ili usluge te ostvaruju profit prodajom istih po ekonomskim cijenama. U opću vladu uključeni su i fondovi socijalne zaštite, tj. fondovi za </w:t>
      </w:r>
      <w:r w:rsidR="00EE3FC4">
        <w:t>mirovinsko</w:t>
      </w:r>
      <w:r>
        <w:t>-invalidsko osiguranje</w:t>
      </w:r>
      <w:r w:rsidR="0095287C">
        <w:rPr>
          <w:rStyle w:val="FootnoteReference"/>
        </w:rPr>
        <w:footnoteReference w:id="1"/>
      </w:r>
      <w:r>
        <w:t>, zapošljavanje, zdravstvo, dječiju zaštitu i za profesionalnu rehabilitaciju i zapošljavanje osoba s invaliditetom</w:t>
      </w:r>
      <w:r w:rsidR="0095287C">
        <w:t xml:space="preserve"> </w:t>
      </w:r>
      <w:r w:rsidR="0095287C" w:rsidRPr="0095287C">
        <w:t>i fond solidarnosti u RS</w:t>
      </w:r>
      <w:r>
        <w:t xml:space="preserve"> te izvanproračunski fondovi za izgradnju </w:t>
      </w:r>
      <w:r w:rsidR="00EE3FC4">
        <w:t>cesta</w:t>
      </w:r>
      <w:r>
        <w:t xml:space="preserve"> odnosno JP direkcije za izgradnju i održavanje cesta svih </w:t>
      </w:r>
      <w:r w:rsidR="00EE3FC4">
        <w:t>razina</w:t>
      </w:r>
      <w:r>
        <w:t xml:space="preserve"> vlasti kao i JP auto</w:t>
      </w:r>
      <w:r w:rsidR="00EE3FC4">
        <w:t>ceste</w:t>
      </w:r>
      <w:r>
        <w:t xml:space="preserve"> u oba</w:t>
      </w:r>
      <w:r>
        <w:rPr>
          <w:spacing w:val="-2"/>
        </w:rPr>
        <w:t xml:space="preserve"> </w:t>
      </w:r>
      <w:r w:rsidR="0095287C">
        <w:t xml:space="preserve">entiteta i </w:t>
      </w:r>
      <w:r w:rsidR="0095287C" w:rsidRPr="0095287C">
        <w:t>Fond za pomoć nastradalim područjima od prirodne nesreće na teritorij</w:t>
      </w:r>
      <w:r w:rsidR="00EE3FC4">
        <w:t>u</w:t>
      </w:r>
      <w:r w:rsidR="0095287C" w:rsidRPr="0095287C">
        <w:t xml:space="preserve"> FBiH.</w:t>
      </w:r>
    </w:p>
    <w:p w:rsidR="0095287C" w:rsidRDefault="0095287C">
      <w:pPr>
        <w:pStyle w:val="BodyText"/>
        <w:spacing w:before="1"/>
        <w:ind w:left="112" w:right="107"/>
        <w:jc w:val="both"/>
      </w:pPr>
    </w:p>
    <w:p w:rsidR="00042934" w:rsidRDefault="00C56741">
      <w:pPr>
        <w:pStyle w:val="BodyText"/>
        <w:spacing w:before="1"/>
        <w:ind w:left="112" w:right="107"/>
        <w:jc w:val="both"/>
      </w:pPr>
      <w:r>
        <w:t>Za analitičke svrhe i kao osnov za međunarodnu usporedbu, sukladno GFS Priručniku, sektor se opće vlade dijeli na nekoliko standardnih podsektora: središnja vlada; državna, pokrajinska ili regionalna;</w:t>
      </w:r>
      <w:r w:rsidR="0095287C" w:rsidRPr="0095287C">
        <w:t xml:space="preserve"> fondovi socijalnog osiguranja</w:t>
      </w:r>
      <w:r w:rsidRPr="0095287C">
        <w:t xml:space="preserve"> </w:t>
      </w:r>
      <w:r>
        <w:t xml:space="preserve">i lokalna vlada. </w:t>
      </w:r>
      <w:r>
        <w:rPr>
          <w:i/>
        </w:rPr>
        <w:t xml:space="preserve">Središnja vlada </w:t>
      </w:r>
      <w:r>
        <w:t xml:space="preserve">je razina vlade čija se politička nadležnost proteže preko cijelog teritorija države i obično uključuje odgovornost za oporezivanje, obranu, međunarodne odnose, socijalnu skrb, obrazovanje i ekonomsku politiku. </w:t>
      </w:r>
      <w:r>
        <w:rPr>
          <w:i/>
        </w:rPr>
        <w:t xml:space="preserve">Državna, pokrajinska ili regionalna vlada </w:t>
      </w:r>
      <w:r>
        <w:t>je najve</w:t>
      </w:r>
      <w:r w:rsidR="00EE3FC4">
        <w:t>ć</w:t>
      </w:r>
      <w:r>
        <w:t xml:space="preserve">a </w:t>
      </w:r>
      <w:r w:rsidR="00EE3FC4">
        <w:t>geografska</w:t>
      </w:r>
      <w:r>
        <w:t xml:space="preserve"> oblast po kojoj zemlja kao cjelina može biti podijeljenja u političke ili administravne svrhe. Jedinice </w:t>
      </w:r>
      <w:r>
        <w:rPr>
          <w:i/>
        </w:rPr>
        <w:t xml:space="preserve">lokalne vlade </w:t>
      </w:r>
      <w:r>
        <w:t xml:space="preserve">su najmanje </w:t>
      </w:r>
      <w:r w:rsidR="00EE3FC4">
        <w:t>geografske</w:t>
      </w:r>
      <w:r>
        <w:t xml:space="preserve"> oblasti kreirane zbog političkih ili administrativnih</w:t>
      </w:r>
      <w:r>
        <w:rPr>
          <w:spacing w:val="-4"/>
        </w:rPr>
        <w:t xml:space="preserve"> </w:t>
      </w:r>
      <w:r>
        <w:t>razloga.</w:t>
      </w:r>
    </w:p>
    <w:p w:rsidR="00042934" w:rsidRDefault="00042934">
      <w:pPr>
        <w:pStyle w:val="BodyText"/>
      </w:pPr>
    </w:p>
    <w:p w:rsidR="00042934" w:rsidRDefault="00C56741">
      <w:pPr>
        <w:pStyle w:val="BodyText"/>
        <w:ind w:left="112" w:right="109"/>
        <w:jc w:val="both"/>
      </w:pPr>
      <w:r>
        <w:t xml:space="preserve">Kod primjene ove klasifikacije podsektora opće vlade BIH, jedino se podsektor lokalne vlade može odmah usporediti s drugim zemljama, ali on nema neku značajniju ulogu u fiskalnim operacijama u BiH. Funkcije su središnje vlade u BiH mnogo više </w:t>
      </w:r>
      <w:r>
        <w:lastRenderedPageBreak/>
        <w:t>ograničene nego što je to uobičajeno u drugim zemljama. Od 01.01.2005. god</w:t>
      </w:r>
      <w:r w:rsidR="00EE3FC4">
        <w:t>ine, ubiranje prihoda po osnovi</w:t>
      </w:r>
      <w:r>
        <w:t xml:space="preserve"> carine, trošarine, poreza na promet akciznih proizvoda i </w:t>
      </w:r>
      <w:r w:rsidR="00EE3FC4">
        <w:t>cestarina</w:t>
      </w:r>
      <w:r>
        <w:t xml:space="preserve"> vrši se na jedinstveni račun, a distribucija tih prihoda raznim razinama vlada se odvija sukladno ključu koji je dogovoren pri Upravi za neizravno oporezivanje. S druge strane, u ovoj fazi u BiH, još uvijek vlade dva “entiteta” i Brčko </w:t>
      </w:r>
      <w:r w:rsidR="00EE3FC4">
        <w:t xml:space="preserve">distrikta </w:t>
      </w:r>
      <w:r>
        <w:t>imaju nadležnosti nad većinom vladinih operacija, mada samo u okviru svojih</w:t>
      </w:r>
      <w:r>
        <w:rPr>
          <w:spacing w:val="-5"/>
        </w:rPr>
        <w:t xml:space="preserve"> </w:t>
      </w:r>
      <w:r>
        <w:t>teritorija.</w:t>
      </w:r>
    </w:p>
    <w:p w:rsidR="00042934" w:rsidRDefault="00042934">
      <w:pPr>
        <w:pStyle w:val="BodyText"/>
      </w:pPr>
    </w:p>
    <w:p w:rsidR="00042934" w:rsidRDefault="00C56741">
      <w:pPr>
        <w:pStyle w:val="BodyText"/>
        <w:ind w:left="112" w:right="113"/>
        <w:jc w:val="both"/>
      </w:pPr>
      <w:r>
        <w:t xml:space="preserve">Dalje, </w:t>
      </w:r>
      <w:r w:rsidR="00EE3FC4">
        <w:t>kantoni</w:t>
      </w:r>
      <w:r>
        <w:t xml:space="preserve"> u BiH imaju prilično slične ovlasti u odnosu na državnu vladu po GFS klasifikacijama</w:t>
      </w:r>
      <w:r w:rsidR="00EE3FC4">
        <w:t>,</w:t>
      </w:r>
      <w:r>
        <w:t xml:space="preserve"> s tim da samo Federacija ima </w:t>
      </w:r>
      <w:r w:rsidR="00EE3FC4">
        <w:t>kantone</w:t>
      </w:r>
      <w:r>
        <w:t xml:space="preserve">. Stoga, kako bi se omogućila usporedba operacija dvaju entitetskih vlada, </w:t>
      </w:r>
      <w:r w:rsidR="00EE3FC4">
        <w:t>kantoni</w:t>
      </w:r>
      <w:r>
        <w:t xml:space="preserve"> se moraju konsolidirati s federalnom razinom Federacije BiH.</w:t>
      </w:r>
    </w:p>
    <w:p w:rsidR="00042934" w:rsidRDefault="00042934">
      <w:pPr>
        <w:pStyle w:val="BodyText"/>
        <w:spacing w:before="1"/>
      </w:pPr>
    </w:p>
    <w:p w:rsidR="00042934" w:rsidRDefault="00C56741">
      <w:pPr>
        <w:ind w:left="112" w:right="107"/>
        <w:jc w:val="both"/>
        <w:rPr>
          <w:sz w:val="24"/>
        </w:rPr>
      </w:pPr>
      <w:r>
        <w:rPr>
          <w:sz w:val="24"/>
        </w:rPr>
        <w:t xml:space="preserve">Tako se, za svrhu međunarodne usporedbe, </w:t>
      </w:r>
      <w:r>
        <w:rPr>
          <w:i/>
          <w:sz w:val="24"/>
        </w:rPr>
        <w:t xml:space="preserve">“središnja vlada” </w:t>
      </w:r>
      <w:r>
        <w:rPr>
          <w:sz w:val="24"/>
        </w:rPr>
        <w:t xml:space="preserve">sukladno GFS-u za BiH definira kao konsolidiranje </w:t>
      </w:r>
      <w:r>
        <w:rPr>
          <w:i/>
          <w:sz w:val="24"/>
        </w:rPr>
        <w:t xml:space="preserve">svih razina vlada osim općinske, </w:t>
      </w:r>
      <w:r>
        <w:rPr>
          <w:sz w:val="24"/>
        </w:rPr>
        <w:t>koja je klasificirana kao lokalna vlada.</w:t>
      </w:r>
    </w:p>
    <w:p w:rsidR="00042934" w:rsidRDefault="00042934">
      <w:pPr>
        <w:pStyle w:val="BodyText"/>
        <w:spacing w:before="5"/>
      </w:pPr>
    </w:p>
    <w:p w:rsidR="00042934" w:rsidRDefault="00C56741">
      <w:pPr>
        <w:pStyle w:val="Heading1"/>
      </w:pPr>
      <w:r>
        <w:t>Izvori podataka</w:t>
      </w:r>
    </w:p>
    <w:p w:rsidR="00042934" w:rsidRDefault="00042934">
      <w:pPr>
        <w:pStyle w:val="BodyText"/>
        <w:spacing w:before="7"/>
        <w:rPr>
          <w:b/>
          <w:sz w:val="23"/>
        </w:rPr>
      </w:pPr>
    </w:p>
    <w:p w:rsidR="00042934" w:rsidRDefault="00C56741">
      <w:pPr>
        <w:pStyle w:val="BodyText"/>
        <w:ind w:left="112" w:right="106"/>
        <w:jc w:val="both"/>
      </w:pPr>
      <w:r>
        <w:t>Računovodstveni podaci koji podržavaju proračunske operacije ministarstva financi</w:t>
      </w:r>
      <w:r w:rsidR="00EE3FC4">
        <w:t>ja na razini države, entiteta, kantona</w:t>
      </w:r>
      <w:r>
        <w:t xml:space="preserve"> i Brčko</w:t>
      </w:r>
      <w:r w:rsidR="00EE3FC4" w:rsidRPr="00EE3FC4">
        <w:t xml:space="preserve"> </w:t>
      </w:r>
      <w:r w:rsidR="00EE3FC4">
        <w:t>distrikta, skupa s</w:t>
      </w:r>
      <w:r>
        <w:t xml:space="preserve"> podacima iz različitih izvanproračunskih fondova socijalne skrbi, predstavljaju osnovni izvor podataka za GFS. Ministarstva financija i ostali izvori podataka su vrlo kooperativni s CBB</w:t>
      </w:r>
      <w:r w:rsidR="00E67A15">
        <w:t>i</w:t>
      </w:r>
      <w:r>
        <w:t>H u osiguravanju izvješća o godišnjem proračunu i drugih potreb</w:t>
      </w:r>
      <w:r w:rsidR="00EE3FC4">
        <w:t>ni</w:t>
      </w:r>
      <w:r>
        <w:t>h informacija, naročito specijalnih izvješća iz ORACLE kompjutorskog sustava trezora za kompilaciju GFS-a.</w:t>
      </w:r>
    </w:p>
    <w:p w:rsidR="00042934" w:rsidRDefault="00C56741">
      <w:pPr>
        <w:pStyle w:val="BodyText"/>
        <w:ind w:left="112" w:right="108"/>
        <w:jc w:val="both"/>
      </w:pPr>
      <w:r>
        <w:t>Za kompilaciju GFS-a na godišnjoj razin</w:t>
      </w:r>
      <w:r w:rsidR="0095287C">
        <w:t>i se koriste podaci od ukupno 56</w:t>
      </w:r>
      <w:r>
        <w:t xml:space="preserve"> izvještajnih jedinica, od čega dvije izvještajne jedinice predstavljaju općine i to po jedna za svaki od entiteta.</w:t>
      </w:r>
    </w:p>
    <w:p w:rsidR="00042934" w:rsidRDefault="00042934">
      <w:pPr>
        <w:jc w:val="both"/>
        <w:sectPr w:rsidR="00042934">
          <w:pgSz w:w="11910" w:h="16850"/>
          <w:pgMar w:top="1500" w:right="1040" w:bottom="280" w:left="1040" w:header="720" w:footer="720" w:gutter="0"/>
          <w:cols w:space="720"/>
        </w:sectPr>
      </w:pPr>
    </w:p>
    <w:p w:rsidR="00042934" w:rsidRDefault="00C56741">
      <w:pPr>
        <w:pStyle w:val="Heading1"/>
        <w:spacing w:before="72"/>
      </w:pPr>
      <w:r>
        <w:lastRenderedPageBreak/>
        <w:t>Obuhvat postojećih statističkih podataka</w:t>
      </w:r>
    </w:p>
    <w:p w:rsidR="00042934" w:rsidRDefault="00042934">
      <w:pPr>
        <w:pStyle w:val="BodyText"/>
        <w:spacing w:before="7"/>
        <w:rPr>
          <w:b/>
          <w:sz w:val="23"/>
        </w:rPr>
      </w:pPr>
    </w:p>
    <w:p w:rsidR="00042934" w:rsidRDefault="00C56741">
      <w:pPr>
        <w:pStyle w:val="BodyText"/>
        <w:ind w:left="112" w:right="107"/>
        <w:jc w:val="both"/>
      </w:pPr>
      <w:r>
        <w:t>Postojeći se statistički podaci odnose na godišnja Izvješća o vladinim operacijama za sve sektore opće vlade u BiH. Pored godišnjih izvješća</w:t>
      </w:r>
      <w:r w:rsidR="00EE3FC4">
        <w:t>,</w:t>
      </w:r>
      <w:r>
        <w:t xml:space="preserve"> od 30. 06. 2004. godine objavljuju se i periodična izvješća o operacijama vlade na tromjesečnoj osnovi za koje nisu raspoloživi podaci lokalne</w:t>
      </w:r>
      <w:r w:rsidR="00EE3FC4">
        <w:t xml:space="preserve"> –</w:t>
      </w:r>
      <w:r>
        <w:t xml:space="preserve"> općinske razine, kao ni JP-a direkcija za izgradnju i održavanje </w:t>
      </w:r>
      <w:r w:rsidR="00EE3FC4">
        <w:t>cesta</w:t>
      </w:r>
      <w:r>
        <w:t>, JP autocesta i fondovi za profesionalnu rehabilitaciju i zapošljavanje osoba s invaliditetom, a što je neophodno kako bi se isti obuhvatili tromjesečnim izvješćima.</w:t>
      </w:r>
    </w:p>
    <w:p w:rsidR="00042934" w:rsidRDefault="00042934">
      <w:pPr>
        <w:pStyle w:val="BodyText"/>
      </w:pPr>
    </w:p>
    <w:p w:rsidR="00042934" w:rsidRDefault="00C56741">
      <w:pPr>
        <w:pStyle w:val="BodyText"/>
        <w:ind w:left="112" w:right="114"/>
        <w:jc w:val="both"/>
      </w:pPr>
      <w:r>
        <w:t>Još je jedna komponenta prihoda i rashoda koja nije pokrivena u postojećim statističkim izvješćima, a to je izvanproračunski prihod i rashod izravno financiranih međunarodnih donatorskih projekata. Možemo konstatirati da su samo neki projekti koje su financirali donatori uključeni u proračunske operacije</w:t>
      </w:r>
      <w:r>
        <w:rPr>
          <w:spacing w:val="-3"/>
        </w:rPr>
        <w:t xml:space="preserve"> </w:t>
      </w:r>
      <w:r>
        <w:t>vlade.</w:t>
      </w:r>
    </w:p>
    <w:p w:rsidR="00042934" w:rsidRDefault="00C56741">
      <w:pPr>
        <w:pStyle w:val="BodyText"/>
        <w:spacing w:before="1"/>
        <w:ind w:left="112" w:right="111"/>
        <w:jc w:val="both"/>
      </w:pPr>
      <w:r>
        <w:t>Planirano je u narednoj fazi razvoja GFS-a prikupiti informacije o takvim projektima i uključiti ih u statistička izvješća o vladinim financijama.</w:t>
      </w:r>
    </w:p>
    <w:p w:rsidR="00042934" w:rsidRDefault="00042934">
      <w:pPr>
        <w:pStyle w:val="BodyText"/>
      </w:pPr>
    </w:p>
    <w:p w:rsidR="00042934" w:rsidRDefault="00C56741">
      <w:pPr>
        <w:pStyle w:val="BodyText"/>
        <w:ind w:left="112" w:right="110"/>
        <w:jc w:val="both"/>
      </w:pPr>
      <w:r>
        <w:t>Izvješća o vladinim operacijama u ovoj fazi ne uključuju kao rashod stavku za potrošnju trajnog kapitala, opet iz razloga što ti podaci nisu raspoloživi. U svakom drugom pogledu, Izvješća imaju isti obuhvat i klasifikacije kako je to navedeno u GFS Priručniku 2001.</w:t>
      </w:r>
    </w:p>
    <w:p w:rsidR="00042934" w:rsidRDefault="00042934">
      <w:pPr>
        <w:pStyle w:val="BodyText"/>
        <w:spacing w:before="4"/>
      </w:pPr>
    </w:p>
    <w:p w:rsidR="00042934" w:rsidRDefault="00C56741">
      <w:pPr>
        <w:pStyle w:val="Heading1"/>
        <w:spacing w:before="1"/>
      </w:pPr>
      <w:r>
        <w:t>Definicije nekih stavki iz izvješća (detaljni opisi se mogu na</w:t>
      </w:r>
      <w:r w:rsidR="00EE3FC4">
        <w:t>ć</w:t>
      </w:r>
      <w:r>
        <w:t xml:space="preserve">i u </w:t>
      </w:r>
      <w:r w:rsidR="00EE3FC4">
        <w:t xml:space="preserve">GFS </w:t>
      </w:r>
      <w:r>
        <w:t>Priručniku 2001)</w:t>
      </w:r>
    </w:p>
    <w:p w:rsidR="00042934" w:rsidRDefault="00042934">
      <w:pPr>
        <w:pStyle w:val="BodyText"/>
        <w:spacing w:before="6"/>
        <w:rPr>
          <w:b/>
          <w:sz w:val="23"/>
        </w:rPr>
      </w:pPr>
    </w:p>
    <w:p w:rsidR="00042934" w:rsidRDefault="00C56741">
      <w:pPr>
        <w:ind w:left="112" w:right="109"/>
        <w:jc w:val="both"/>
        <w:rPr>
          <w:sz w:val="24"/>
        </w:rPr>
      </w:pPr>
      <w:r>
        <w:rPr>
          <w:i/>
          <w:sz w:val="24"/>
        </w:rPr>
        <w:t xml:space="preserve">Obračunski osnov računovodstvenog evidentiranja </w:t>
      </w:r>
      <w:r>
        <w:rPr>
          <w:sz w:val="24"/>
        </w:rPr>
        <w:t>– računovodstveni sustav sukladno kojem je vrijeme knjiženja t</w:t>
      </w:r>
      <w:r w:rsidR="00EE3FC4">
        <w:rPr>
          <w:sz w:val="24"/>
        </w:rPr>
        <w:t>o</w:t>
      </w:r>
      <w:r>
        <w:rPr>
          <w:sz w:val="24"/>
        </w:rPr>
        <w:t>kova odgovarajuće vrijednosti ono kada je promatrana vrijednost nastala, transformirana, promijenjena ili otpisana.</w:t>
      </w:r>
    </w:p>
    <w:p w:rsidR="00042934" w:rsidRDefault="00042934">
      <w:pPr>
        <w:pStyle w:val="BodyText"/>
        <w:spacing w:before="1"/>
      </w:pPr>
    </w:p>
    <w:p w:rsidR="00042934" w:rsidRDefault="00C56741">
      <w:pPr>
        <w:pStyle w:val="BodyText"/>
        <w:ind w:left="112" w:right="105"/>
        <w:jc w:val="both"/>
      </w:pPr>
      <w:r>
        <w:rPr>
          <w:i/>
        </w:rPr>
        <w:t xml:space="preserve">Bruto operativna bilanca </w:t>
      </w:r>
      <w:r>
        <w:t>– predstavlja prihode umanjene za rashode koji ne uključuju potrošnju stalnih sredstava, za razliku od neto operativne bilance.</w:t>
      </w:r>
    </w:p>
    <w:p w:rsidR="00042934" w:rsidRDefault="00042934">
      <w:pPr>
        <w:pStyle w:val="BodyText"/>
      </w:pPr>
    </w:p>
    <w:p w:rsidR="00042934" w:rsidRDefault="00C56741">
      <w:pPr>
        <w:pStyle w:val="BodyText"/>
        <w:ind w:left="112" w:right="108"/>
        <w:jc w:val="both"/>
      </w:pPr>
      <w:r>
        <w:rPr>
          <w:i/>
        </w:rPr>
        <w:t xml:space="preserve">Neto nabava nefinancijskih sredstava </w:t>
      </w:r>
      <w:r>
        <w:t xml:space="preserve">– jednaka je bruto nabavi stalnih sredstava umanjenoj za potrošnju </w:t>
      </w:r>
      <w:r>
        <w:lastRenderedPageBreak/>
        <w:t>stalnih sredstava</w:t>
      </w:r>
      <w:r w:rsidR="008B3DBD">
        <w:t>,</w:t>
      </w:r>
      <w:r>
        <w:t xml:space="preserve"> na što se dodaju promjene u zalihama i </w:t>
      </w:r>
      <w:r w:rsidR="00EE3FC4">
        <w:t>transak</w:t>
      </w:r>
      <w:r>
        <w:t>cijama kod ostalih nefinancijskih sredstava.</w:t>
      </w:r>
    </w:p>
    <w:p w:rsidR="00042934" w:rsidRDefault="00042934">
      <w:pPr>
        <w:pStyle w:val="BodyText"/>
      </w:pPr>
    </w:p>
    <w:p w:rsidR="00042934" w:rsidRDefault="00EE3FC4">
      <w:pPr>
        <w:pStyle w:val="BodyText"/>
        <w:ind w:left="112" w:right="113"/>
        <w:jc w:val="both"/>
      </w:pPr>
      <w:r>
        <w:rPr>
          <w:i/>
        </w:rPr>
        <w:t>Transak</w:t>
      </w:r>
      <w:r w:rsidR="00C56741">
        <w:rPr>
          <w:i/>
        </w:rPr>
        <w:t xml:space="preserve">cije u financijskim sredstvima – </w:t>
      </w:r>
      <w:r w:rsidR="00C56741">
        <w:t xml:space="preserve">su predstavljene u tablici kao neto ostvarena financijska sredstva od svake kategorije financijskog sredstva i neto porast svake kategorije obveze. </w:t>
      </w:r>
      <w:r>
        <w:t>Transak</w:t>
      </w:r>
      <w:r w:rsidR="00C56741">
        <w:t xml:space="preserve">cije koje povećavaju obveze se smatraju nastanakom obveze. </w:t>
      </w:r>
      <w:r>
        <w:t>Transak</w:t>
      </w:r>
      <w:r w:rsidR="00C56741">
        <w:t xml:space="preserve">cije koje smanjuju obaveze se različito nazivaju: otplate, redukcije, likvidacije ili gašenja. Tako su rezultati </w:t>
      </w:r>
      <w:r>
        <w:t>transak</w:t>
      </w:r>
      <w:r w:rsidR="00C56741">
        <w:t>cija u određenoj kategoriji financijskih sredstava predstavljeni kao neto nabave.</w:t>
      </w:r>
    </w:p>
    <w:p w:rsidR="0095287C" w:rsidRDefault="0095287C">
      <w:pPr>
        <w:pStyle w:val="BodyText"/>
        <w:ind w:left="112" w:right="113"/>
        <w:jc w:val="both"/>
      </w:pPr>
    </w:p>
    <w:p w:rsidR="0095287C" w:rsidRPr="0095287C" w:rsidRDefault="0095287C" w:rsidP="0095287C">
      <w:pPr>
        <w:pStyle w:val="BodyText"/>
        <w:ind w:left="112" w:right="113"/>
        <w:jc w:val="both"/>
      </w:pPr>
      <w:r>
        <w:t>Bilanca</w:t>
      </w:r>
      <w:r w:rsidRPr="0095287C">
        <w:t xml:space="preserve"> stanja – predstavlja </w:t>
      </w:r>
      <w:r>
        <w:t>izvješće o vrijednosti bilan</w:t>
      </w:r>
      <w:r w:rsidR="008B3DBD">
        <w:t>č</w:t>
      </w:r>
      <w:r>
        <w:t>n</w:t>
      </w:r>
      <w:r w:rsidRPr="0095287C">
        <w:t>ih stavki na stran</w:t>
      </w:r>
      <w:r w:rsidR="008B3DBD">
        <w:t>i</w:t>
      </w:r>
      <w:r w:rsidRPr="0095287C">
        <w:t xml:space="preserve"> aktive i pasive koju institucionalna jedinica ili grupa jedinica posjeduje u određ</w:t>
      </w:r>
      <w:r>
        <w:t>enom vremenskom trenutku. Bilanca</w:t>
      </w:r>
      <w:r w:rsidRPr="0095287C">
        <w:t xml:space="preserve"> stanja se obično k</w:t>
      </w:r>
      <w:r w:rsidR="008B3DBD">
        <w:t>ompilira na kraju izvještajnog razdoblja</w:t>
      </w:r>
      <w:r w:rsidRPr="0095287C">
        <w:t>.</w:t>
      </w:r>
    </w:p>
    <w:p w:rsidR="00042934" w:rsidRDefault="00042934">
      <w:pPr>
        <w:pStyle w:val="BodyText"/>
        <w:spacing w:before="5"/>
      </w:pPr>
    </w:p>
    <w:p w:rsidR="00042934" w:rsidRDefault="00C56741">
      <w:pPr>
        <w:pStyle w:val="Heading1"/>
        <w:spacing w:before="1"/>
      </w:pPr>
      <w:r>
        <w:t>Buduće aktivnosti</w:t>
      </w:r>
    </w:p>
    <w:p w:rsidR="00042934" w:rsidRDefault="00042934">
      <w:pPr>
        <w:pStyle w:val="BodyText"/>
        <w:spacing w:before="6"/>
        <w:rPr>
          <w:b/>
          <w:sz w:val="23"/>
        </w:rPr>
      </w:pPr>
    </w:p>
    <w:p w:rsidR="0095287C" w:rsidRDefault="0095287C" w:rsidP="0095287C">
      <w:pPr>
        <w:pStyle w:val="BodyText"/>
        <w:spacing w:before="1"/>
      </w:pPr>
      <w:r>
        <w:t xml:space="preserve">CBBiH planira proširiti obuhvat i na </w:t>
      </w:r>
      <w:r w:rsidR="008B3DBD">
        <w:t>razinu</w:t>
      </w:r>
      <w:r>
        <w:t xml:space="preserve"> lokalne vlade i </w:t>
      </w:r>
      <w:r w:rsidR="008B3DBD">
        <w:t>iz</w:t>
      </w:r>
      <w:r>
        <w:t xml:space="preserve">vanproračunskih  fondova te ih kompilirati i uključiti u </w:t>
      </w:r>
      <w:r w:rsidR="008B3DBD">
        <w:t>tromjesečna izvješća skupa s</w:t>
      </w:r>
      <w:r>
        <w:t xml:space="preserve"> podacima o statistici vladinih finan</w:t>
      </w:r>
      <w:r w:rsidR="008B3DBD">
        <w:t>c</w:t>
      </w:r>
      <w:r>
        <w:t xml:space="preserve">ija za središnju vladu. Međutim, realizacija navedenih ciljeva u potpunosti </w:t>
      </w:r>
      <w:r w:rsidR="00CF41FD">
        <w:t>o</w:t>
      </w:r>
      <w:r>
        <w:t>visi o raspoloživosti potrebnih pod</w:t>
      </w:r>
      <w:r w:rsidR="00134C66">
        <w:t>ataka, odnosno izvora podataka.</w:t>
      </w:r>
    </w:p>
    <w:p w:rsidR="00042934" w:rsidRDefault="00C54F34" w:rsidP="0095287C">
      <w:pPr>
        <w:pStyle w:val="BodyText"/>
        <w:spacing w:before="1"/>
      </w:pPr>
      <w:r>
        <w:t>U 2016. godini započelo se s</w:t>
      </w:r>
      <w:r w:rsidR="0095287C">
        <w:t xml:space="preserve"> redovnom kompilacijom finan</w:t>
      </w:r>
      <w:r w:rsidR="00CF41FD">
        <w:t>c</w:t>
      </w:r>
      <w:r w:rsidR="0095287C">
        <w:t>ijske bilan</w:t>
      </w:r>
      <w:r w:rsidR="00CF41FD">
        <w:t>ce stanja opće vlade na godišnjoj razini</w:t>
      </w:r>
      <w:r w:rsidR="0095287C">
        <w:t xml:space="preserve"> kao dio izvješ</w:t>
      </w:r>
      <w:r w:rsidR="00CF41FD">
        <w:t>ć</w:t>
      </w:r>
      <w:r w:rsidR="0095287C">
        <w:t>a o bilan</w:t>
      </w:r>
      <w:r w:rsidR="00CF41FD">
        <w:t>ci stanja opće vlade. U budućem razdoblju</w:t>
      </w:r>
      <w:r w:rsidR="0095287C">
        <w:t xml:space="preserve">, u </w:t>
      </w:r>
      <w:r w:rsidR="00CF41FD">
        <w:t>o</w:t>
      </w:r>
      <w:r w:rsidR="0095287C">
        <w:t>visnosti o raspoloživosti podataka, namjera je da se i započne s izradom izvješ</w:t>
      </w:r>
      <w:r w:rsidR="00CF41FD">
        <w:t>ć</w:t>
      </w:r>
      <w:r w:rsidR="0095287C">
        <w:t xml:space="preserve">a i na </w:t>
      </w:r>
      <w:r w:rsidR="00CF41FD">
        <w:t>tromjesečnoj razini</w:t>
      </w:r>
      <w:r w:rsidR="0095287C">
        <w:t>.</w:t>
      </w:r>
    </w:p>
    <w:p w:rsidR="00042934" w:rsidRDefault="00C56741" w:rsidP="00CF41FD">
      <w:pPr>
        <w:pStyle w:val="BodyText"/>
        <w:ind w:right="108"/>
        <w:jc w:val="both"/>
      </w:pPr>
      <w:r>
        <w:t>Pored ovoga, planiran je početak izrade finan</w:t>
      </w:r>
      <w:r w:rsidR="00CF41FD">
        <w:t>c</w:t>
      </w:r>
      <w:r>
        <w:t>ijsk</w:t>
      </w:r>
      <w:r w:rsidR="00CF41FD">
        <w:t>e</w:t>
      </w:r>
      <w:r>
        <w:t xml:space="preserve"> bilan</w:t>
      </w:r>
      <w:r w:rsidR="00CF41FD">
        <w:t>ce</w:t>
      </w:r>
      <w:r>
        <w:t xml:space="preserve"> stanja opće vlade na godišnj</w:t>
      </w:r>
      <w:r w:rsidR="00CF41FD">
        <w:t>oj razini</w:t>
      </w:r>
      <w:r>
        <w:t xml:space="preserve"> kao dio izvješ</w:t>
      </w:r>
      <w:r w:rsidR="00CF41FD">
        <w:t>ć</w:t>
      </w:r>
      <w:r>
        <w:t>a o bilan</w:t>
      </w:r>
      <w:r w:rsidR="00CF41FD">
        <w:t>ci</w:t>
      </w:r>
      <w:r>
        <w:t xml:space="preserve"> stanja opće vlade. U budućem </w:t>
      </w:r>
      <w:r w:rsidR="00CF41FD">
        <w:t>razdoblju</w:t>
      </w:r>
      <w:r>
        <w:t xml:space="preserve">, u </w:t>
      </w:r>
      <w:r w:rsidR="00CF41FD">
        <w:t>o</w:t>
      </w:r>
      <w:r>
        <w:t>visnosti o raspoloživosti podataka, namjera je da se i započne s izradom izvješ</w:t>
      </w:r>
      <w:r w:rsidR="00CF41FD">
        <w:t>ć</w:t>
      </w:r>
      <w:r>
        <w:t xml:space="preserve">a i na </w:t>
      </w:r>
      <w:r w:rsidR="00CF41FD">
        <w:t>tromjesečnoj razini</w:t>
      </w:r>
      <w:r>
        <w:t>.</w:t>
      </w:r>
    </w:p>
    <w:p w:rsidR="00042934" w:rsidRDefault="00042934">
      <w:pPr>
        <w:jc w:val="both"/>
        <w:sectPr w:rsidR="00042934">
          <w:pgSz w:w="11910" w:h="16850"/>
          <w:pgMar w:top="1220" w:right="1040" w:bottom="280" w:left="1040" w:header="720" w:footer="720" w:gutter="0"/>
          <w:cols w:space="720"/>
        </w:sectPr>
      </w:pPr>
    </w:p>
    <w:p w:rsidR="00042934" w:rsidRDefault="00C56741">
      <w:pPr>
        <w:pStyle w:val="BodyText"/>
        <w:spacing w:before="67"/>
        <w:ind w:left="112" w:right="107"/>
        <w:jc w:val="both"/>
      </w:pPr>
      <w:r>
        <w:lastRenderedPageBreak/>
        <w:t>Značajan se problem kod kompiliranja GFS-a, koji bi bio još veći da se nije riješila tromjesečna statistika, odnosi na računovodstvene klasifikacije koje se koriste u raznim ministarstvima financija, izvanproračunskim i fondovima socijalne skrbi. Naime, svaki entitet i državni trezor koristi različite kontne planove kao osnove za svoj računovodstveni sustav, koji se, sukladno tome, koristi za izvješćivanje proračunskih podataka prema CBB</w:t>
      </w:r>
      <w:r w:rsidR="00E67A15">
        <w:t>i</w:t>
      </w:r>
      <w:r>
        <w:t>H. Također, d</w:t>
      </w:r>
      <w:r w:rsidR="007028B6">
        <w:rPr>
          <w:lang w:val="sr-Cyrl-BA"/>
        </w:rPr>
        <w:t>ogađaju</w:t>
      </w:r>
      <w:r w:rsidR="007028B6">
        <w:rPr>
          <w:lang w:val="bs-Latn-BA"/>
        </w:rPr>
        <w:t xml:space="preserve"> </w:t>
      </w:r>
      <w:r>
        <w:t>se česte promjene u kontnim planovima te</w:t>
      </w:r>
      <w:r w:rsidR="00CF41FD">
        <w:t>,</w:t>
      </w:r>
      <w:r>
        <w:t xml:space="preserve"> stoga, i u klasifikaciji računovodstvenih</w:t>
      </w:r>
      <w:r>
        <w:rPr>
          <w:spacing w:val="-4"/>
        </w:rPr>
        <w:t xml:space="preserve"> </w:t>
      </w:r>
      <w:r>
        <w:t>podataka.</w:t>
      </w:r>
    </w:p>
    <w:p w:rsidR="00042934" w:rsidRDefault="00042934">
      <w:pPr>
        <w:pStyle w:val="BodyText"/>
      </w:pPr>
    </w:p>
    <w:p w:rsidR="00042934" w:rsidRDefault="00C56741">
      <w:pPr>
        <w:pStyle w:val="BodyText"/>
        <w:ind w:left="112" w:right="111"/>
        <w:jc w:val="both"/>
      </w:pPr>
      <w:r>
        <w:t>S obzirom da kompiliranje GFS-a zahtijeva strogu uporabu standardne klasifikacije računa, na CBBiH je veliki zadatak, nakon što dobije detaljne računovodstvene podatke od ministarstva financija, preklasificirati stotine stavki sukladno standardiziranoj GFS klasifikaciji, naročito kada se razni ko</w:t>
      </w:r>
      <w:r w:rsidR="004746AE">
        <w:t>ntni planovi konstantno mijenja</w:t>
      </w:r>
      <w:r>
        <w:t>ju.</w:t>
      </w:r>
    </w:p>
    <w:p w:rsidR="00042934" w:rsidRDefault="00042934">
      <w:pPr>
        <w:pStyle w:val="BodyText"/>
        <w:spacing w:before="1"/>
      </w:pPr>
    </w:p>
    <w:p w:rsidR="00042934" w:rsidRDefault="00C56741">
      <w:pPr>
        <w:pStyle w:val="BodyText"/>
        <w:ind w:left="112" w:right="104"/>
        <w:jc w:val="both"/>
      </w:pPr>
      <w:r>
        <w:t>CBB</w:t>
      </w:r>
      <w:r w:rsidR="00CF41FD">
        <w:t>iH će stoga razgovarati s</w:t>
      </w:r>
      <w:r>
        <w:t xml:space="preserve"> ministarstvima financija o mogućim načinima za dobivanje standardiziranih računovodstvenih podataka kako bi pojednostavili proces kompiliranja a time omogućili više pravovremenih podataka za objavljivanje.</w:t>
      </w:r>
    </w:p>
    <w:sectPr w:rsidR="00042934">
      <w:pgSz w:w="11910" w:h="16850"/>
      <w:pgMar w:top="1220" w:right="1040" w:bottom="280" w:left="10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3D7" w:rsidRDefault="009333D7" w:rsidP="0095287C">
      <w:r>
        <w:separator/>
      </w:r>
    </w:p>
  </w:endnote>
  <w:endnote w:type="continuationSeparator" w:id="0">
    <w:p w:rsidR="009333D7" w:rsidRDefault="009333D7" w:rsidP="0095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3D7" w:rsidRDefault="009333D7" w:rsidP="0095287C">
      <w:r>
        <w:separator/>
      </w:r>
    </w:p>
  </w:footnote>
  <w:footnote w:type="continuationSeparator" w:id="0">
    <w:p w:rsidR="009333D7" w:rsidRDefault="009333D7" w:rsidP="0095287C">
      <w:r>
        <w:continuationSeparator/>
      </w:r>
    </w:p>
  </w:footnote>
  <w:footnote w:id="1">
    <w:p w:rsidR="0095287C" w:rsidRPr="0095287C" w:rsidRDefault="0095287C">
      <w:pPr>
        <w:pStyle w:val="FootnoteText"/>
        <w:rPr>
          <w:lang w:val="sr-Latn-BA"/>
        </w:rPr>
      </w:pPr>
      <w:r>
        <w:rPr>
          <w:rStyle w:val="FootnoteReference"/>
        </w:rPr>
        <w:footnoteRef/>
      </w:r>
      <w:r>
        <w:t xml:space="preserve"> </w:t>
      </w:r>
      <w:r w:rsidRPr="0095287C">
        <w:t xml:space="preserve">  Od 1.1. 2016 </w:t>
      </w:r>
      <w:r w:rsidR="00EE3FC4">
        <w:t>F</w:t>
      </w:r>
      <w:r w:rsidRPr="0095287C">
        <w:t xml:space="preserve">ond za penziono-invalidsko osiguranje RS je uključen u </w:t>
      </w:r>
      <w:r w:rsidR="00EE3FC4">
        <w:t>proračun</w:t>
      </w:r>
      <w:r w:rsidRPr="0095287C">
        <w:t xml:space="preserve"> RS i samim tim isključen iz podsektora fondovi socijalnog osiguranja.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34"/>
    <w:rsid w:val="00042934"/>
    <w:rsid w:val="00134C66"/>
    <w:rsid w:val="001974BD"/>
    <w:rsid w:val="00337497"/>
    <w:rsid w:val="004746AE"/>
    <w:rsid w:val="007028B6"/>
    <w:rsid w:val="00867023"/>
    <w:rsid w:val="008B3DBD"/>
    <w:rsid w:val="009333D7"/>
    <w:rsid w:val="0095287C"/>
    <w:rsid w:val="00956E82"/>
    <w:rsid w:val="009B6AB7"/>
    <w:rsid w:val="00AC281D"/>
    <w:rsid w:val="00B4290D"/>
    <w:rsid w:val="00C43E62"/>
    <w:rsid w:val="00C54F34"/>
    <w:rsid w:val="00C56741"/>
    <w:rsid w:val="00CF41FD"/>
    <w:rsid w:val="00E67A15"/>
    <w:rsid w:val="00EB2212"/>
    <w:rsid w:val="00EE3FC4"/>
    <w:rsid w:val="00F76CBA"/>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2A0DE-6AEF-4116-8ED5-9ED2254F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287C"/>
    <w:pPr>
      <w:tabs>
        <w:tab w:val="center" w:pos="4536"/>
        <w:tab w:val="right" w:pos="9072"/>
      </w:tabs>
    </w:pPr>
  </w:style>
  <w:style w:type="character" w:customStyle="1" w:styleId="HeaderChar">
    <w:name w:val="Header Char"/>
    <w:basedOn w:val="DefaultParagraphFont"/>
    <w:link w:val="Header"/>
    <w:uiPriority w:val="99"/>
    <w:rsid w:val="0095287C"/>
    <w:rPr>
      <w:rFonts w:ascii="Times New Roman" w:eastAsia="Times New Roman" w:hAnsi="Times New Roman" w:cs="Times New Roman"/>
    </w:rPr>
  </w:style>
  <w:style w:type="paragraph" w:styleId="Footer">
    <w:name w:val="footer"/>
    <w:basedOn w:val="Normal"/>
    <w:link w:val="FooterChar"/>
    <w:uiPriority w:val="99"/>
    <w:unhideWhenUsed/>
    <w:rsid w:val="0095287C"/>
    <w:pPr>
      <w:tabs>
        <w:tab w:val="center" w:pos="4536"/>
        <w:tab w:val="right" w:pos="9072"/>
      </w:tabs>
    </w:pPr>
  </w:style>
  <w:style w:type="character" w:customStyle="1" w:styleId="FooterChar">
    <w:name w:val="Footer Char"/>
    <w:basedOn w:val="DefaultParagraphFont"/>
    <w:link w:val="Footer"/>
    <w:uiPriority w:val="99"/>
    <w:rsid w:val="0095287C"/>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5287C"/>
    <w:rPr>
      <w:sz w:val="20"/>
      <w:szCs w:val="20"/>
    </w:rPr>
  </w:style>
  <w:style w:type="character" w:customStyle="1" w:styleId="FootnoteTextChar">
    <w:name w:val="Footnote Text Char"/>
    <w:basedOn w:val="DefaultParagraphFont"/>
    <w:link w:val="FootnoteText"/>
    <w:uiPriority w:val="99"/>
    <w:semiHidden/>
    <w:rsid w:val="009528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528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6D78E-CDBA-4540-B29F-AE760661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METODOLO[KA OBJA[WEWA</vt:lpstr>
    </vt:vector>
  </TitlesOfParts>
  <Company/>
  <LinksUpToDate>false</LinksUpToDate>
  <CharactersWithSpaces>10767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METODOLO[KA OBJA[WEWA</dc:title>
  <dc:creator>92m3nam3</dc:creator>
  <cp:lastModifiedBy>Lejla Caklovica</cp:lastModifiedBy>
  <cp:revision>2</cp:revision>
  <dcterms:created xsi:type="dcterms:W3CDTF">2018-10-19T07:36:00Z</dcterms:created>
  <dcterms:modified xsi:type="dcterms:W3CDTF">2018-10-19T07:36:00Z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Creator">
    <vt:lpwstr>Microsoft® Word 2013</vt:lpwstr>
  </property>
  <property fmtid="{D5CDD505-2E9C-101B-9397-08002B2CF9AE}" pid="4" name="LastSaved">
    <vt:filetime>2018-10-18T00:00:00Z</vt:filetime>
  </property>
</Properties>
</file>