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CF" w:rsidRDefault="00131D9C">
      <w:pPr>
        <w:pStyle w:val="Heading1"/>
        <w:spacing w:before="72" w:line="274" w:lineRule="exact"/>
      </w:pPr>
      <w:bookmarkStart w:id="0" w:name="_GoBack"/>
      <w:bookmarkEnd w:id="0"/>
      <w:r>
        <w:t>СТАТИСТИКА ВЛАДИНИХ ФИНАНСИЈА</w:t>
      </w:r>
    </w:p>
    <w:p w:rsidR="004C5CCF" w:rsidRDefault="00131D9C">
      <w:pPr>
        <w:pStyle w:val="BodyText"/>
        <w:spacing w:line="274" w:lineRule="exact"/>
        <w:ind w:left="112"/>
        <w:jc w:val="both"/>
      </w:pPr>
      <w:r>
        <w:t>ОПЕРАЦИЈЕ ОПШТЕ ВЛАДЕ</w:t>
      </w:r>
    </w:p>
    <w:p w:rsidR="004C5CCF" w:rsidRDefault="00131D9C">
      <w:pPr>
        <w:pStyle w:val="BodyText"/>
        <w:ind w:left="112"/>
        <w:jc w:val="both"/>
      </w:pPr>
      <w:r>
        <w:t>/Кратак опис методологије/</w:t>
      </w:r>
    </w:p>
    <w:p w:rsidR="004C5CCF" w:rsidRDefault="004C5CCF">
      <w:pPr>
        <w:pStyle w:val="BodyText"/>
        <w:spacing w:before="4"/>
      </w:pPr>
    </w:p>
    <w:p w:rsidR="004C5CCF" w:rsidRDefault="00131D9C">
      <w:pPr>
        <w:pStyle w:val="Heading1"/>
        <w:spacing w:before="1"/>
      </w:pPr>
      <w:r>
        <w:t>Увод</w:t>
      </w:r>
    </w:p>
    <w:p w:rsidR="004C5CCF" w:rsidRDefault="004C5CCF">
      <w:pPr>
        <w:pStyle w:val="BodyText"/>
        <w:spacing w:before="6"/>
        <w:rPr>
          <w:b/>
          <w:sz w:val="23"/>
        </w:rPr>
      </w:pPr>
    </w:p>
    <w:p w:rsidR="004C5CCF" w:rsidRDefault="00131D9C">
      <w:pPr>
        <w:pStyle w:val="BodyText"/>
        <w:ind w:left="112" w:right="107"/>
        <w:jc w:val="both"/>
      </w:pPr>
      <w:r>
        <w:t>Ова напомена објашњава сврху статистике владиних финансија, нарочито статистичких података у приложеним табелама, методологију и изворе кориштене при компилацији статистичких података те будуће развоје.</w:t>
      </w:r>
    </w:p>
    <w:p w:rsidR="004C5CCF" w:rsidRDefault="004C5CCF">
      <w:pPr>
        <w:pStyle w:val="BodyText"/>
        <w:spacing w:before="5"/>
      </w:pPr>
    </w:p>
    <w:p w:rsidR="004C5CCF" w:rsidRDefault="00131D9C">
      <w:pPr>
        <w:pStyle w:val="Heading1"/>
      </w:pPr>
      <w:r>
        <w:t>Сврха статистике владиних финансија</w:t>
      </w:r>
    </w:p>
    <w:p w:rsidR="004C5CCF" w:rsidRDefault="004C5CCF">
      <w:pPr>
        <w:pStyle w:val="BodyText"/>
        <w:spacing w:before="7"/>
        <w:rPr>
          <w:b/>
          <w:sz w:val="23"/>
        </w:rPr>
      </w:pPr>
    </w:p>
    <w:p w:rsidR="004C5CCF" w:rsidRPr="00B146AF" w:rsidRDefault="00131D9C">
      <w:pPr>
        <w:pStyle w:val="BodyText"/>
        <w:ind w:left="112" w:right="105"/>
        <w:jc w:val="both"/>
        <w:rPr>
          <w:lang w:val="sr-Cyrl-BA"/>
        </w:rPr>
      </w:pPr>
      <w:r>
        <w:t>Статистика владиних финансија (у даљем тексту GFS) која је дата у приложеним табелама намијењена је да обезб</w:t>
      </w:r>
      <w:r w:rsidR="002C7DA2">
        <w:rPr>
          <w:lang w:val="sr-Cyrl-BA"/>
        </w:rPr>
        <w:t>и</w:t>
      </w:r>
      <w:r>
        <w:t xml:space="preserve">једи свеобухватне статистичке податаке који омогућавају креаторима владине политике и аналитичарима да на конзистентан и систематичан начин проучавају развој у финансијским операцијама сектора владе у БиХ. Аналитички оквир GFS-а се може користити за анализирање операција специфичног нивоа и трансакција између различитих нивоа владе, као и укупног сектора опште владе. Ови статистички подаци </w:t>
      </w:r>
      <w:r w:rsidR="00B146AF">
        <w:t xml:space="preserve">се </w:t>
      </w:r>
      <w:r>
        <w:t>могу користити за сврхе као што су процјена величине сектора опште владе у укупној економији; њеног у</w:t>
      </w:r>
      <w:r w:rsidR="00B146AF">
        <w:rPr>
          <w:lang w:val="sr-Cyrl-BA"/>
        </w:rPr>
        <w:t>чешћа</w:t>
      </w:r>
      <w:r>
        <w:t xml:space="preserve"> у односу на укупну потражњу, улагање и штедњу; утицај фискалне политике на економију, укључујући кориштење ресурса и задуженост; пореско оптерећење</w:t>
      </w:r>
      <w:r w:rsidR="000E7569">
        <w:t>,</w:t>
      </w:r>
      <w:r>
        <w:t xml:space="preserve"> итд.</w:t>
      </w:r>
      <w:r w:rsidR="00B146AF">
        <w:rPr>
          <w:lang w:val="sr-Cyrl-BA"/>
        </w:rPr>
        <w:t xml:space="preserve"> </w:t>
      </w:r>
    </w:p>
    <w:p w:rsidR="004C5CCF" w:rsidRDefault="004C5CCF">
      <w:pPr>
        <w:pStyle w:val="BodyText"/>
        <w:spacing w:before="1"/>
      </w:pPr>
    </w:p>
    <w:p w:rsidR="004C5CCF" w:rsidRDefault="00B146AF">
      <w:pPr>
        <w:pStyle w:val="BodyText"/>
        <w:ind w:left="112" w:right="105"/>
        <w:jc w:val="both"/>
      </w:pPr>
      <w:r>
        <w:t>Како су подаци GFS-а засновани</w:t>
      </w:r>
      <w:r w:rsidR="00131D9C">
        <w:t xml:space="preserve"> на истом концептуалном оквиру као и други макроекономски статистички подаци, они се директно могу упоредити с другим макроекономским статистичким подацима</w:t>
      </w:r>
      <w:r w:rsidR="000E7569">
        <w:t>,</w:t>
      </w:r>
      <w:r w:rsidR="00131D9C">
        <w:t xml:space="preserve"> као што су подаци националних рачуна, статистика платног биланса и монетарна статистика, на основу статистичких стандарда ММФ-а.</w:t>
      </w:r>
    </w:p>
    <w:p w:rsidR="004C5CCF" w:rsidRDefault="004C5CCF">
      <w:pPr>
        <w:pStyle w:val="BodyText"/>
        <w:spacing w:before="5"/>
      </w:pPr>
    </w:p>
    <w:p w:rsidR="004C5CCF" w:rsidRDefault="00131D9C">
      <w:pPr>
        <w:pStyle w:val="Heading1"/>
      </w:pPr>
      <w:r>
        <w:t>Методологија</w:t>
      </w:r>
    </w:p>
    <w:p w:rsidR="004C5CCF" w:rsidRDefault="004C5CCF">
      <w:pPr>
        <w:pStyle w:val="BodyText"/>
        <w:spacing w:before="7"/>
        <w:rPr>
          <w:b/>
          <w:sz w:val="23"/>
        </w:rPr>
      </w:pPr>
    </w:p>
    <w:p w:rsidR="004C5CCF" w:rsidRDefault="00131D9C">
      <w:pPr>
        <w:pStyle w:val="BodyText"/>
        <w:ind w:left="112" w:right="101"/>
        <w:jc w:val="both"/>
      </w:pPr>
      <w:r>
        <w:t>Основни концептуални оквир који се користи за компил</w:t>
      </w:r>
      <w:r w:rsidR="006D54C2">
        <w:rPr>
          <w:lang w:val="sr-Cyrl-BA"/>
        </w:rPr>
        <w:t>ацију</w:t>
      </w:r>
      <w:r>
        <w:t xml:space="preserve"> приложених статистичких података </w:t>
      </w:r>
      <w:r>
        <w:lastRenderedPageBreak/>
        <w:t>је уско везан за међународне стандарде за GFS које производи ММФ и који су објављени у GFS Приручнику 20</w:t>
      </w:r>
      <w:r w:rsidR="00ED5EF2">
        <w:t>14</w:t>
      </w:r>
      <w:r>
        <w:t>. Приручник регулише свеоубухватни аналитички оквир који систематски евидентира и сравњава и трансакције (операције) и билансе стања, првенствено користећи акруалну основу, више него готовинску, у смислу времена евидентирања трансакција. На основу потреба за фискалним анализама, дефинисане су различите ставке за поравнање (на примјер: нето оперативно стање).</w:t>
      </w:r>
    </w:p>
    <w:p w:rsidR="004C5CCF" w:rsidRDefault="004C5CCF">
      <w:pPr>
        <w:pStyle w:val="BodyText"/>
      </w:pPr>
    </w:p>
    <w:p w:rsidR="004C5CCF" w:rsidRDefault="00131D9C">
      <w:pPr>
        <w:pStyle w:val="BodyText"/>
        <w:spacing w:before="1"/>
        <w:ind w:left="112" w:right="105"/>
        <w:jc w:val="both"/>
      </w:pPr>
      <w:r>
        <w:t>У складу с GFS методологијом</w:t>
      </w:r>
      <w:r w:rsidR="006D54C2">
        <w:rPr>
          <w:lang w:val="sr-Cyrl-BA"/>
        </w:rPr>
        <w:t>,</w:t>
      </w:r>
      <w:r>
        <w:t xml:space="preserve"> дефинисана су четири основна </w:t>
      </w:r>
      <w:r w:rsidR="006D54C2">
        <w:t>статистичка извјештаја, три се засновају</w:t>
      </w:r>
      <w:r w:rsidR="006D54C2">
        <w:rPr>
          <w:lang w:val="sr-Cyrl-BA"/>
        </w:rPr>
        <w:t xml:space="preserve"> </w:t>
      </w:r>
      <w:r>
        <w:t>на акру</w:t>
      </w:r>
      <w:r w:rsidR="006D54C2">
        <w:t>алном рачуноводству (Операције в</w:t>
      </w:r>
      <w:r>
        <w:t>ладе, Остали економски токови и Биланс стања), а један на готовинској основи (Извори и кориш</w:t>
      </w:r>
      <w:r w:rsidR="00C21EBE">
        <w:rPr>
          <w:lang w:val="sr-Cyrl-BA"/>
        </w:rPr>
        <w:t>т</w:t>
      </w:r>
      <w:r>
        <w:t>ења готовине). Табеле у прилогу односе се на Извјештај о операцијама владе. Израда преосталих горенаведених статистичких извјештаја у потпуности зависи од расположивости потребних података, односно извора података.</w:t>
      </w:r>
    </w:p>
    <w:p w:rsidR="004C5CCF" w:rsidRDefault="004C5CCF">
      <w:pPr>
        <w:pStyle w:val="BodyText"/>
        <w:rPr>
          <w:sz w:val="26"/>
        </w:rPr>
      </w:pPr>
    </w:p>
    <w:p w:rsidR="004C5CCF" w:rsidRDefault="004C5CCF">
      <w:pPr>
        <w:pStyle w:val="BodyText"/>
        <w:spacing w:before="5"/>
        <w:rPr>
          <w:sz w:val="22"/>
        </w:rPr>
      </w:pPr>
    </w:p>
    <w:p w:rsidR="004C5CCF" w:rsidRDefault="00131D9C">
      <w:pPr>
        <w:pStyle w:val="Heading1"/>
      </w:pPr>
      <w:r>
        <w:t>Секторизација владе</w:t>
      </w:r>
    </w:p>
    <w:p w:rsidR="004C5CCF" w:rsidRDefault="004C5CCF">
      <w:pPr>
        <w:pStyle w:val="BodyText"/>
        <w:spacing w:before="7"/>
        <w:rPr>
          <w:b/>
          <w:sz w:val="23"/>
        </w:rPr>
      </w:pPr>
    </w:p>
    <w:p w:rsidR="004C5CCF" w:rsidRDefault="00131D9C">
      <w:pPr>
        <w:pStyle w:val="BodyText"/>
        <w:ind w:left="112" w:right="101"/>
        <w:jc w:val="both"/>
      </w:pPr>
      <w:r>
        <w:t>Приложене табеле са статистичким подацима о владиним финансијама се односе на трансакције сектора опште владе бх. економије и њезиних подсектора. У складу с GFS Приручником, сектор опште владе дефинише се тако да обухвата све ентитете</w:t>
      </w:r>
      <w:r w:rsidR="006D54C2">
        <w:rPr>
          <w:lang w:val="sr-Cyrl-BA"/>
        </w:rPr>
        <w:t xml:space="preserve"> </w:t>
      </w:r>
      <w:r>
        <w:t>који обављају</w:t>
      </w:r>
    </w:p>
    <w:p w:rsidR="004C5CCF" w:rsidRDefault="004C5CCF">
      <w:pPr>
        <w:jc w:val="both"/>
        <w:sectPr w:rsidR="004C5CCF">
          <w:type w:val="continuous"/>
          <w:pgSz w:w="11910" w:h="16850"/>
          <w:pgMar w:top="1220" w:right="1040" w:bottom="280" w:left="1040" w:header="720" w:footer="720" w:gutter="0"/>
          <w:cols w:space="720"/>
        </w:sectPr>
      </w:pPr>
    </w:p>
    <w:p w:rsidR="004C5CCF" w:rsidRDefault="00131D9C">
      <w:pPr>
        <w:pStyle w:val="BodyText"/>
        <w:spacing w:before="67"/>
        <w:ind w:left="112" w:right="103"/>
        <w:jc w:val="both"/>
      </w:pPr>
      <w:r>
        <w:lastRenderedPageBreak/>
        <w:t xml:space="preserve">функције владе као њихове основне дјелатности. Он не обухвата пословна предузећа у власништву владе која производе робе и/или услуге те остварују профит продајом истих по економским цијенама. </w:t>
      </w:r>
      <w:r w:rsidR="00ED5EF2" w:rsidRPr="00ED5EF2">
        <w:t>У општу владу укључени су и фондови социјалне заштите, тј. фондови за пензијско-инвалидско осигу</w:t>
      </w:r>
      <w:r w:rsidR="00ED5EF2">
        <w:t xml:space="preserve">рање </w:t>
      </w:r>
      <w:r w:rsidR="00ED5EF2">
        <w:rPr>
          <w:rStyle w:val="FootnoteReference"/>
        </w:rPr>
        <w:footnoteReference w:id="1"/>
      </w:r>
      <w:r w:rsidR="00ED5EF2">
        <w:t>, запошљавање, здравство, дј</w:t>
      </w:r>
      <w:r w:rsidR="00ED5EF2" w:rsidRPr="00ED5EF2">
        <w:t xml:space="preserve">ечију заштиту, за професионалну рехабилитацију и запошљавање </w:t>
      </w:r>
      <w:r w:rsidR="006D54C2">
        <w:rPr>
          <w:lang w:val="sr-Cyrl-BA"/>
        </w:rPr>
        <w:t>лица</w:t>
      </w:r>
      <w:r w:rsidR="00ED5EF2" w:rsidRPr="00ED5EF2">
        <w:t xml:space="preserve"> с инвалид</w:t>
      </w:r>
      <w:r w:rsidR="00C21EBE">
        <w:t>итетом и фонд солидарности у РС</w:t>
      </w:r>
      <w:r w:rsidR="00ED5EF2" w:rsidRPr="00ED5EF2">
        <w:t xml:space="preserve"> те ванбуџетски фондови за изградњу путева односно ЈП дирекције за изградњу и одржавање </w:t>
      </w:r>
      <w:r w:rsidR="006D54C2">
        <w:rPr>
          <w:lang w:val="sr-Cyrl-BA"/>
        </w:rPr>
        <w:t>путева</w:t>
      </w:r>
      <w:r w:rsidR="00ED5EF2" w:rsidRPr="00ED5EF2">
        <w:t xml:space="preserve"> свих нивоа власти као и ЈП аутопутеви у оба ентитета и Фонд за помоћ настрадалим подручјима од природне несреће на територији ФБиХ</w:t>
      </w:r>
      <w:r>
        <w:t>.</w:t>
      </w:r>
    </w:p>
    <w:p w:rsidR="004C5CCF" w:rsidRDefault="004C5CCF">
      <w:pPr>
        <w:pStyle w:val="BodyText"/>
      </w:pPr>
    </w:p>
    <w:p w:rsidR="004C5CCF" w:rsidRDefault="00131D9C">
      <w:pPr>
        <w:pStyle w:val="BodyText"/>
        <w:ind w:left="112" w:right="104"/>
        <w:jc w:val="both"/>
      </w:pPr>
      <w:r>
        <w:t>За аналитичке сврхе и као основа за међународна поређења, у складу с GFS Приручником, сектор опште владе се дијели на неколико стандардних подсектора: централна влада; државна, покрајинска или регионална;</w:t>
      </w:r>
      <w:r w:rsidR="00ED5EF2">
        <w:rPr>
          <w:lang w:val="sr-Cyrl-BA"/>
        </w:rPr>
        <w:t xml:space="preserve"> фондови социјалног осигурања</w:t>
      </w:r>
      <w:r>
        <w:t xml:space="preserve"> и локална влада. Централна влада је ниво владе чија се политичка надлежност протеже преко цијелог територија државе и обично укључује одговорност за опорезивање, одбрану, међународне односе, социјалну заштиту, образовање и економску политику. Државна, покрајинска или регионална влада је највећа географска област по којој земља као цјелина може бити подијељења у политичке или административне сврхе. Јединице локалне владе су најмање географске области креиране због политичких или административних</w:t>
      </w:r>
      <w:r>
        <w:rPr>
          <w:spacing w:val="2"/>
        </w:rPr>
        <w:t xml:space="preserve"> </w:t>
      </w:r>
      <w:r>
        <w:t>разлога.</w:t>
      </w:r>
    </w:p>
    <w:p w:rsidR="004C5CCF" w:rsidRDefault="004C5CCF">
      <w:pPr>
        <w:pStyle w:val="BodyText"/>
        <w:spacing w:before="1"/>
      </w:pPr>
    </w:p>
    <w:p w:rsidR="004C5CCF" w:rsidRDefault="00131D9C">
      <w:pPr>
        <w:pStyle w:val="BodyText"/>
        <w:ind w:left="112" w:right="105"/>
        <w:jc w:val="both"/>
      </w:pPr>
      <w:r>
        <w:t>Код примјене ове класификације подсектора опште владе БиХ, једино се подсектор локалне владе може одмах упоредити с другим земљама, али он нема неку значајнију улогу у фискалним операцијама у БиХ. Функције централне владе у БиХ су много више ограничене него што је то уобичајено у дру</w:t>
      </w:r>
      <w:r w:rsidR="006D54C2">
        <w:t xml:space="preserve">гим земљама. Од 01.01.2005. </w:t>
      </w:r>
      <w:r w:rsidR="006D54C2">
        <w:lastRenderedPageBreak/>
        <w:t>године</w:t>
      </w:r>
      <w:r>
        <w:t xml:space="preserve">, убирање прихода по основу царине, акцизе, пореза на промет акцизних производа и путарина врши се на јединствени рачун, а дистрибуција тих прихода разним нивоима влада се усмјерава према кључу који је договорен од стране Управе за индиректно опорезивање. С друге стране, у овој фази у БиХ, још увијек владе два “ентитета” и Брчко </w:t>
      </w:r>
      <w:r w:rsidR="006D54C2">
        <w:t xml:space="preserve">дистрикта </w:t>
      </w:r>
      <w:r>
        <w:t>имају надлежности над већином владиних операција, мада само у оквиру својих</w:t>
      </w:r>
      <w:r>
        <w:rPr>
          <w:spacing w:val="-4"/>
        </w:rPr>
        <w:t xml:space="preserve"> </w:t>
      </w:r>
      <w:r>
        <w:t>територија.</w:t>
      </w:r>
    </w:p>
    <w:p w:rsidR="004C5CCF" w:rsidRDefault="004C5CCF">
      <w:pPr>
        <w:pStyle w:val="BodyText"/>
        <w:spacing w:before="1"/>
      </w:pPr>
    </w:p>
    <w:p w:rsidR="004C5CCF" w:rsidRDefault="00131D9C">
      <w:pPr>
        <w:pStyle w:val="BodyText"/>
        <w:ind w:left="112" w:right="105"/>
        <w:jc w:val="both"/>
      </w:pPr>
      <w:r>
        <w:t>Даље, кантони у БиХ имају прилично слична овлашћења у односу на државну владу по GFS класификацијама</w:t>
      </w:r>
      <w:r w:rsidR="006D54C2">
        <w:rPr>
          <w:lang w:val="sr-Cyrl-BA"/>
        </w:rPr>
        <w:t>,</w:t>
      </w:r>
      <w:r>
        <w:t xml:space="preserve"> с тим да само Федерација има кантоне. Стога, да би се омогућило поређење операција двије ентитетске владе, кантони се морају консолидовати с федералним нивоом Федерације</w:t>
      </w:r>
      <w:r>
        <w:rPr>
          <w:spacing w:val="-2"/>
        </w:rPr>
        <w:t xml:space="preserve"> </w:t>
      </w:r>
      <w:r>
        <w:t>БиХ.</w:t>
      </w:r>
    </w:p>
    <w:p w:rsidR="004C5CCF" w:rsidRDefault="004C5CCF">
      <w:pPr>
        <w:pStyle w:val="BodyText"/>
      </w:pPr>
    </w:p>
    <w:p w:rsidR="004C5CCF" w:rsidRDefault="00131D9C">
      <w:pPr>
        <w:pStyle w:val="BodyText"/>
        <w:ind w:left="112" w:right="105"/>
        <w:jc w:val="both"/>
      </w:pPr>
      <w:r>
        <w:t xml:space="preserve">Тако се, у </w:t>
      </w:r>
      <w:r w:rsidR="006D54C2">
        <w:rPr>
          <w:lang w:val="sr-Cyrl-BA"/>
        </w:rPr>
        <w:t>циљ</w:t>
      </w:r>
      <w:r>
        <w:t>у међународног поређења, “централна влада” у складу с GFS-о</w:t>
      </w:r>
      <w:r w:rsidR="006D54C2">
        <w:rPr>
          <w:lang w:val="bs-Latn-BA"/>
        </w:rPr>
        <w:t>m</w:t>
      </w:r>
      <w:r>
        <w:t xml:space="preserve"> за БиХ дефинише као консолидовање свих нивоа влада осим општинске, која је класификована као локална влада.</w:t>
      </w:r>
    </w:p>
    <w:p w:rsidR="004C5CCF" w:rsidRDefault="004C5CCF">
      <w:pPr>
        <w:pStyle w:val="BodyText"/>
        <w:spacing w:before="5"/>
      </w:pPr>
    </w:p>
    <w:p w:rsidR="004C5CCF" w:rsidRDefault="00131D9C">
      <w:pPr>
        <w:pStyle w:val="Heading1"/>
        <w:spacing w:before="1"/>
      </w:pPr>
      <w:r>
        <w:t>Извори података</w:t>
      </w:r>
    </w:p>
    <w:p w:rsidR="004C5CCF" w:rsidRDefault="004C5CCF">
      <w:pPr>
        <w:pStyle w:val="BodyText"/>
        <w:spacing w:before="6"/>
        <w:rPr>
          <w:b/>
          <w:sz w:val="23"/>
        </w:rPr>
      </w:pPr>
    </w:p>
    <w:p w:rsidR="004C5CCF" w:rsidRDefault="00131D9C">
      <w:pPr>
        <w:pStyle w:val="BodyText"/>
        <w:ind w:left="112" w:right="103"/>
        <w:jc w:val="both"/>
      </w:pPr>
      <w:r>
        <w:t>Рачуноводствени подаци који подржавају буџетске операције министарства финансија на нивоу државе, ентитета, кантона и Брчко</w:t>
      </w:r>
      <w:r w:rsidR="006D54C2" w:rsidRPr="006D54C2">
        <w:t xml:space="preserve"> </w:t>
      </w:r>
      <w:r w:rsidR="006D54C2">
        <w:t>дистрикта, скупа с</w:t>
      </w:r>
      <w:r>
        <w:t xml:space="preserve"> подацима из различитих ванбуџетских и фондова социјалне заштите, представљају основни извор података за GFS. Министарства финансија и остали извори података су врло кооперативни с ЦББ</w:t>
      </w:r>
      <w:r w:rsidR="006D54C2">
        <w:rPr>
          <w:lang w:val="sr-Cyrl-BA"/>
        </w:rPr>
        <w:t>и</w:t>
      </w:r>
      <w:r>
        <w:t>Х у осигуравању извјештаја о годишњем буџету и других потребних информација, нарочито специјалних извјештаја из ORACLE компјутерског система трезора за компилацију GFS-а.</w:t>
      </w:r>
    </w:p>
    <w:p w:rsidR="004C5CCF" w:rsidRDefault="00131D9C">
      <w:pPr>
        <w:pStyle w:val="BodyText"/>
        <w:ind w:left="112" w:right="108"/>
        <w:jc w:val="both"/>
      </w:pPr>
      <w:r>
        <w:t>За компилацију GFS-а на годишњем ниво</w:t>
      </w:r>
      <w:r w:rsidR="00ED5EF2">
        <w:t>у користе се подаци од укупно 56</w:t>
      </w:r>
      <w:r>
        <w:t xml:space="preserve"> извјештајних јединица, од чега двије извјештајне јединице представљaj</w:t>
      </w:r>
      <w:r w:rsidR="006D54C2">
        <w:rPr>
          <w:lang w:val="sr-Cyrl-BA"/>
        </w:rPr>
        <w:t>у</w:t>
      </w:r>
      <w:r>
        <w:t xml:space="preserve"> општине и то по једна за сваки од ентитета.</w:t>
      </w:r>
    </w:p>
    <w:p w:rsidR="004C5CCF" w:rsidRDefault="004C5CCF">
      <w:pPr>
        <w:jc w:val="both"/>
        <w:sectPr w:rsidR="004C5CCF">
          <w:pgSz w:w="11910" w:h="16850"/>
          <w:pgMar w:top="1220" w:right="1040" w:bottom="280" w:left="1040" w:header="720" w:footer="720" w:gutter="0"/>
          <w:cols w:space="720"/>
        </w:sectPr>
      </w:pPr>
    </w:p>
    <w:p w:rsidR="004C5CCF" w:rsidRDefault="00131D9C">
      <w:pPr>
        <w:pStyle w:val="Heading1"/>
        <w:spacing w:before="68"/>
      </w:pPr>
      <w:r>
        <w:lastRenderedPageBreak/>
        <w:t>Обухват постојећих статистичких података</w:t>
      </w:r>
    </w:p>
    <w:p w:rsidR="004C5CCF" w:rsidRDefault="004C5CCF">
      <w:pPr>
        <w:pStyle w:val="BodyText"/>
        <w:spacing w:before="7"/>
        <w:rPr>
          <w:b/>
          <w:sz w:val="23"/>
        </w:rPr>
      </w:pPr>
    </w:p>
    <w:p w:rsidR="004C5CCF" w:rsidRDefault="00131D9C">
      <w:pPr>
        <w:pStyle w:val="BodyText"/>
        <w:ind w:left="112" w:right="103"/>
        <w:jc w:val="both"/>
      </w:pPr>
      <w:r>
        <w:t>Постојећи статистички подаци се односе на годишње Извјештаје о владиним операцијама за све секторе опште владе у БиХ. Поред годишњих извјештаја</w:t>
      </w:r>
      <w:r w:rsidR="00CA071B">
        <w:rPr>
          <w:lang w:val="sr-Cyrl-BA"/>
        </w:rPr>
        <w:t>,</w:t>
      </w:r>
      <w:r>
        <w:t xml:space="preserve"> од 30. 06. 2004. године објављују се и периодични извјештаји о операцијама владе на кварталној основи за које нису расположиви подаци локалног</w:t>
      </w:r>
      <w:r w:rsidR="00CA071B">
        <w:rPr>
          <w:lang w:val="sr-Cyrl-BA"/>
        </w:rPr>
        <w:t xml:space="preserve"> </w:t>
      </w:r>
      <w:r w:rsidR="00CA071B">
        <w:t>–</w:t>
      </w:r>
      <w:r w:rsidR="00CA071B">
        <w:rPr>
          <w:lang w:val="sr-Cyrl-BA"/>
        </w:rPr>
        <w:t xml:space="preserve"> </w:t>
      </w:r>
      <w:r>
        <w:t xml:space="preserve">општинског нивоа, као ни ЈП-а дирекција за изградњу и одржавање путевa, ЈП аутопутева и фондовa за професионалну рехабилитацију и запошљавање </w:t>
      </w:r>
      <w:r w:rsidR="00CA071B">
        <w:rPr>
          <w:lang w:val="sr-Cyrl-BA"/>
        </w:rPr>
        <w:t>лица</w:t>
      </w:r>
      <w:r w:rsidR="00CA071B">
        <w:t xml:space="preserve"> с</w:t>
      </w:r>
      <w:r>
        <w:t xml:space="preserve"> инвалидитетом а што је неопходно како би се исти обухватили кварталним</w:t>
      </w:r>
      <w:r>
        <w:rPr>
          <w:spacing w:val="-1"/>
        </w:rPr>
        <w:t xml:space="preserve"> </w:t>
      </w:r>
      <w:r>
        <w:t>извјештајима.</w:t>
      </w:r>
    </w:p>
    <w:p w:rsidR="004C5CCF" w:rsidRDefault="004C5CCF">
      <w:pPr>
        <w:pStyle w:val="BodyText"/>
      </w:pPr>
    </w:p>
    <w:p w:rsidR="004C5CCF" w:rsidRDefault="00131D9C">
      <w:pPr>
        <w:pStyle w:val="BodyText"/>
        <w:ind w:left="112" w:right="104"/>
        <w:jc w:val="both"/>
      </w:pPr>
      <w:r>
        <w:t>Још једна компонента прихода и расхода која није покривена у постојећим статистичким извјештајима је ванбуџетски приход и расход, а који је директно финансиран од стране међународних донаторских пројеката. Можемо констатовати да су само неки пројекти које су финансирали донатори укључени у буџетске операције</w:t>
      </w:r>
      <w:r>
        <w:rPr>
          <w:spacing w:val="-4"/>
        </w:rPr>
        <w:t xml:space="preserve"> </w:t>
      </w:r>
      <w:r>
        <w:t>владе.</w:t>
      </w:r>
    </w:p>
    <w:p w:rsidR="004C5CCF" w:rsidRDefault="00131D9C">
      <w:pPr>
        <w:pStyle w:val="BodyText"/>
        <w:spacing w:before="1"/>
        <w:ind w:left="112" w:right="105"/>
        <w:jc w:val="both"/>
      </w:pPr>
      <w:r>
        <w:t>Планирано је да се у наредној фази развоја GFS-а прикупе информације о таквим пројектима и укључити их у статистичке извјештаје о владиним финансијама.</w:t>
      </w:r>
    </w:p>
    <w:p w:rsidR="004C5CCF" w:rsidRDefault="004C5CCF">
      <w:pPr>
        <w:pStyle w:val="BodyText"/>
      </w:pPr>
    </w:p>
    <w:p w:rsidR="004C5CCF" w:rsidRDefault="00131D9C">
      <w:pPr>
        <w:pStyle w:val="BodyText"/>
        <w:ind w:left="112" w:right="106"/>
        <w:jc w:val="both"/>
      </w:pPr>
      <w:r>
        <w:t>Извјештаји о владиним операцијама у овој фази не укључују као расход ставку за потрошњу сталних средстава, опет из разлога што ти подаци нису расположиви. У сваком другом погледу, Извјештаји имају исти обухват и класификације као што је то наведено у GFS Приручнику 2001.</w:t>
      </w:r>
    </w:p>
    <w:p w:rsidR="004C5CCF" w:rsidRDefault="004C5CCF">
      <w:pPr>
        <w:pStyle w:val="BodyText"/>
        <w:spacing w:before="5"/>
      </w:pPr>
    </w:p>
    <w:p w:rsidR="004C5CCF" w:rsidRDefault="00131D9C">
      <w:pPr>
        <w:pStyle w:val="Heading1"/>
        <w:ind w:right="106"/>
      </w:pPr>
      <w:r>
        <w:t xml:space="preserve">Дефиниције неких ставки из извјештаја (детаљни описи се могу наћи у </w:t>
      </w:r>
      <w:r w:rsidR="00CA071B">
        <w:t xml:space="preserve">GFS </w:t>
      </w:r>
      <w:r>
        <w:t>Приручнику 2001)</w:t>
      </w:r>
    </w:p>
    <w:p w:rsidR="004C5CCF" w:rsidRDefault="004C5CCF">
      <w:pPr>
        <w:pStyle w:val="BodyText"/>
        <w:spacing w:before="7"/>
        <w:rPr>
          <w:b/>
          <w:sz w:val="23"/>
        </w:rPr>
      </w:pPr>
    </w:p>
    <w:p w:rsidR="004C5CCF" w:rsidRDefault="00131D9C">
      <w:pPr>
        <w:ind w:left="112" w:right="107"/>
        <w:jc w:val="both"/>
        <w:rPr>
          <w:sz w:val="24"/>
        </w:rPr>
      </w:pPr>
      <w:r>
        <w:rPr>
          <w:i/>
          <w:sz w:val="24"/>
        </w:rPr>
        <w:t xml:space="preserve">Обрачунска основа рачуноводственог евидентирања </w:t>
      </w:r>
      <w:r>
        <w:rPr>
          <w:sz w:val="24"/>
        </w:rPr>
        <w:t>– рачуноводствени систем у складу с којим вријеме књижења токова одговарајуће вриједности је оно када је посматрана вриједност настала, трансформисана, промијењена или отписана.</w:t>
      </w:r>
    </w:p>
    <w:p w:rsidR="004C5CCF" w:rsidRDefault="004C5CCF">
      <w:pPr>
        <w:pStyle w:val="BodyText"/>
      </w:pPr>
    </w:p>
    <w:p w:rsidR="004C5CCF" w:rsidRDefault="00131D9C">
      <w:pPr>
        <w:pStyle w:val="BodyText"/>
        <w:ind w:left="112" w:right="106"/>
        <w:jc w:val="both"/>
      </w:pPr>
      <w:r>
        <w:rPr>
          <w:i/>
        </w:rPr>
        <w:lastRenderedPageBreak/>
        <w:t xml:space="preserve">Бруто оперативни биланс </w:t>
      </w:r>
      <w:r>
        <w:t>– представља приходе умањене за расходе који не укључују потрошњу сталних средстава, за разлику од нето оперативног биланса.</w:t>
      </w:r>
    </w:p>
    <w:p w:rsidR="004C5CCF" w:rsidRDefault="004C5CCF">
      <w:pPr>
        <w:pStyle w:val="BodyText"/>
      </w:pPr>
    </w:p>
    <w:p w:rsidR="004C5CCF" w:rsidRDefault="00131D9C">
      <w:pPr>
        <w:pStyle w:val="BodyText"/>
        <w:ind w:left="112" w:right="104"/>
        <w:jc w:val="both"/>
      </w:pPr>
      <w:r>
        <w:rPr>
          <w:i/>
        </w:rPr>
        <w:t xml:space="preserve">Нето набавка нефинансијских средстава </w:t>
      </w:r>
      <w:r>
        <w:t>– једнака је бруто набавци сталних средстава умањеној за потрошњу сталних средстава на које се додају промјене у залихама и трансакцијама код осталих нефинансијских средстава.</w:t>
      </w:r>
    </w:p>
    <w:p w:rsidR="004C5CCF" w:rsidRDefault="004C5CCF">
      <w:pPr>
        <w:pStyle w:val="BodyText"/>
      </w:pPr>
    </w:p>
    <w:p w:rsidR="004C5CCF" w:rsidRDefault="00131D9C">
      <w:pPr>
        <w:pStyle w:val="BodyText"/>
        <w:spacing w:before="1"/>
        <w:ind w:left="112" w:right="105"/>
        <w:jc w:val="both"/>
      </w:pPr>
      <w:r>
        <w:rPr>
          <w:i/>
        </w:rPr>
        <w:t xml:space="preserve">Трансакције у финансијским средствима </w:t>
      </w:r>
      <w:r>
        <w:t>– су представљене у табели као нето остварена финансијска средства од сваке категорије финансијског средства и нето пораст сваке категорије обавезе. Трансакције које повећавају обавезе сматрају се настанаком обавезе. Трансакције које смањују обавезе се различито називају: отплате, редукције, ликвидације или гашења. Тако су резултати трансакција у одређеној категорији финансијских средстава представљени као нето</w:t>
      </w:r>
      <w:r>
        <w:rPr>
          <w:spacing w:val="-1"/>
        </w:rPr>
        <w:t xml:space="preserve"> </w:t>
      </w:r>
      <w:r>
        <w:t>набавке.</w:t>
      </w:r>
    </w:p>
    <w:p w:rsidR="00ED5EF2" w:rsidRDefault="00ED5EF2">
      <w:pPr>
        <w:pStyle w:val="BodyText"/>
        <w:spacing w:before="1"/>
        <w:ind w:left="112" w:right="105"/>
        <w:jc w:val="both"/>
      </w:pPr>
    </w:p>
    <w:p w:rsidR="00ED5EF2" w:rsidRPr="00ED5EF2" w:rsidRDefault="00ED5EF2" w:rsidP="00ED5EF2">
      <w:pPr>
        <w:pStyle w:val="BodyText"/>
        <w:spacing w:before="1"/>
        <w:ind w:left="112" w:right="105"/>
        <w:jc w:val="both"/>
      </w:pPr>
      <w:r w:rsidRPr="00ED5EF2">
        <w:t>Биланс стања – представља извјештај о вриједности билансих ставки на стране активе и пасиве коју институционална јединица или група јединица посједује у одређеном временском тренутку. Биланс стања се обично компил</w:t>
      </w:r>
      <w:r w:rsidR="00CA071B">
        <w:rPr>
          <w:lang w:val="sr-Cyrl-BA"/>
        </w:rPr>
        <w:t>ује</w:t>
      </w:r>
      <w:r w:rsidRPr="00ED5EF2">
        <w:t xml:space="preserve"> на крају извјештајног периода.</w:t>
      </w:r>
    </w:p>
    <w:p w:rsidR="004C5CCF" w:rsidRDefault="004C5CCF">
      <w:pPr>
        <w:pStyle w:val="BodyText"/>
        <w:spacing w:before="4"/>
      </w:pPr>
    </w:p>
    <w:p w:rsidR="004C5CCF" w:rsidRDefault="00131D9C">
      <w:pPr>
        <w:pStyle w:val="Heading1"/>
        <w:spacing w:before="1"/>
      </w:pPr>
      <w:r>
        <w:t>Будуће активости</w:t>
      </w:r>
    </w:p>
    <w:p w:rsidR="004C5CCF" w:rsidRDefault="004C5CCF">
      <w:pPr>
        <w:pStyle w:val="BodyText"/>
        <w:spacing w:before="7"/>
        <w:rPr>
          <w:b/>
          <w:sz w:val="23"/>
        </w:rPr>
      </w:pPr>
    </w:p>
    <w:p w:rsidR="00ED5EF2" w:rsidRDefault="00ED5EF2" w:rsidP="00ED5EF2">
      <w:pPr>
        <w:pStyle w:val="BodyText"/>
        <w:ind w:left="112" w:right="105"/>
        <w:jc w:val="both"/>
      </w:pPr>
      <w:r>
        <w:t>ЦББиХ планира проширити обухват и на ниво локалне владе и ванбуџетских  фондова те их компил</w:t>
      </w:r>
      <w:r w:rsidR="00CA071B">
        <w:rPr>
          <w:lang w:val="sr-Cyrl-BA"/>
        </w:rPr>
        <w:t>ова</w:t>
      </w:r>
      <w:r>
        <w:t>ти и укључити у кварта</w:t>
      </w:r>
      <w:r w:rsidR="00CA071B">
        <w:t>лне извјештаје скупа с</w:t>
      </w:r>
      <w:r>
        <w:t xml:space="preserve"> подацима о статистици владиних финансија за централну владу. Међутим, реализација наведених циљева у потпуности зависи од расположивости потребних података, односно извора података.</w:t>
      </w:r>
    </w:p>
    <w:p w:rsidR="00ED5EF2" w:rsidRDefault="00ED5EF2" w:rsidP="00ED5EF2">
      <w:pPr>
        <w:pStyle w:val="BodyText"/>
        <w:ind w:left="112" w:right="105"/>
        <w:jc w:val="both"/>
      </w:pPr>
      <w:r>
        <w:t xml:space="preserve"> </w:t>
      </w:r>
    </w:p>
    <w:p w:rsidR="00ED5EF2" w:rsidRDefault="00ED5EF2" w:rsidP="00ED5EF2">
      <w:pPr>
        <w:pStyle w:val="BodyText"/>
        <w:ind w:left="112" w:right="105"/>
        <w:jc w:val="both"/>
      </w:pPr>
    </w:p>
    <w:p w:rsidR="00ED5EF2" w:rsidRDefault="00ED5EF2" w:rsidP="00ED5EF2">
      <w:pPr>
        <w:pStyle w:val="BodyText"/>
        <w:ind w:left="112" w:right="105"/>
        <w:jc w:val="both"/>
      </w:pPr>
    </w:p>
    <w:p w:rsidR="004C5CCF" w:rsidRDefault="00ED5EF2" w:rsidP="00ED5EF2">
      <w:pPr>
        <w:pStyle w:val="BodyText"/>
        <w:ind w:left="112" w:right="105"/>
        <w:jc w:val="both"/>
      </w:pPr>
      <w:r>
        <w:t>У 2016. години започело се с редовном компилацијом финансијског биланса стања оп</w:t>
      </w:r>
      <w:r w:rsidR="00CA071B">
        <w:rPr>
          <w:lang w:val="sr-Cyrl-BA"/>
        </w:rPr>
        <w:t>ште</w:t>
      </w:r>
      <w:r>
        <w:t xml:space="preserve"> владе на годишњем нивоу као дио </w:t>
      </w:r>
      <w:r>
        <w:lastRenderedPageBreak/>
        <w:t>извјештаја о билансу стања оп</w:t>
      </w:r>
      <w:r w:rsidR="00CA071B">
        <w:rPr>
          <w:lang w:val="sr-Cyrl-BA"/>
        </w:rPr>
        <w:t>шт</w:t>
      </w:r>
      <w:r>
        <w:t>е владе. У будућем периоду, у зависности од расположивости података, намјера је да се и започне с израдом извјештаја и на кварталном нивоу.</w:t>
      </w:r>
    </w:p>
    <w:p w:rsidR="004C5CCF" w:rsidRDefault="004C5CCF">
      <w:pPr>
        <w:pStyle w:val="BodyText"/>
      </w:pPr>
    </w:p>
    <w:p w:rsidR="004C5CCF" w:rsidRPr="00CA071B" w:rsidRDefault="00131D9C">
      <w:pPr>
        <w:pStyle w:val="BodyText"/>
        <w:ind w:left="112" w:right="108"/>
        <w:jc w:val="both"/>
        <w:rPr>
          <w:lang w:val="sr-Cyrl-BA"/>
        </w:rPr>
      </w:pPr>
      <w:r>
        <w:t>Значајан проблем код компил</w:t>
      </w:r>
      <w:r w:rsidR="00CA071B">
        <w:rPr>
          <w:lang w:val="sr-Cyrl-BA"/>
        </w:rPr>
        <w:t>ације</w:t>
      </w:r>
      <w:r>
        <w:t xml:space="preserve"> GFS-а, који би био још већи да се није ријешила квартална статистика, </w:t>
      </w:r>
      <w:r w:rsidR="00CA071B">
        <w:t xml:space="preserve">односи </w:t>
      </w:r>
      <w:r>
        <w:t>се на рачуноводствене класификације које се користе у разним министарствима финансија, ванбуџетским и фондовима социјалне заштите. Наиме, сваки ентитет и државни трезор користи различите контне планове као основу за свој рачуноводствени систем, који се, у складу с тим, користи за извјештавање буџетских података према ЦББ</w:t>
      </w:r>
      <w:r w:rsidR="00CA071B">
        <w:rPr>
          <w:lang w:val="sr-Cyrl-BA"/>
        </w:rPr>
        <w:t>и</w:t>
      </w:r>
      <w:r>
        <w:t>Х. Такође, дешавају се честе промјене у контним плановима те</w:t>
      </w:r>
      <w:r w:rsidR="00CA071B">
        <w:rPr>
          <w:lang w:val="sr-Cyrl-BA"/>
        </w:rPr>
        <w:t>,</w:t>
      </w:r>
      <w:r>
        <w:t xml:space="preserve"> стога, и у класификацији рачуноводствених података.</w:t>
      </w:r>
      <w:r w:rsidR="00CA071B">
        <w:rPr>
          <w:lang w:val="sr-Cyrl-BA"/>
        </w:rPr>
        <w:t xml:space="preserve"> </w:t>
      </w:r>
    </w:p>
    <w:p w:rsidR="004C5CCF" w:rsidRDefault="004C5CCF">
      <w:pPr>
        <w:pStyle w:val="BodyText"/>
        <w:spacing w:before="1"/>
      </w:pPr>
    </w:p>
    <w:p w:rsidR="004C5CCF" w:rsidRDefault="00131D9C">
      <w:pPr>
        <w:pStyle w:val="BodyText"/>
        <w:ind w:left="112" w:right="105"/>
        <w:jc w:val="both"/>
      </w:pPr>
      <w:r>
        <w:t>С обзиром да компил</w:t>
      </w:r>
      <w:r w:rsidR="00CA071B">
        <w:rPr>
          <w:lang w:val="sr-Cyrl-BA"/>
        </w:rPr>
        <w:t>ациј</w:t>
      </w:r>
      <w:r w:rsidR="00C21EBE">
        <w:rPr>
          <w:lang w:val="bs-Latn-BA"/>
        </w:rPr>
        <w:t>a</w:t>
      </w:r>
      <w:r>
        <w:t xml:space="preserve"> GFS-а захтијева строгу употребу стандардне класификације рачуна, на ЦББиХ је велики задатак да, након што добије детаљне рачуноводствене податке од министарства финансија, прекласификује стотине ставки према стандардној GFS класификацији, нарочито када се различити контни планови константно мијења</w:t>
      </w:r>
      <w:r w:rsidR="00CA071B">
        <w:rPr>
          <w:lang w:val="sr-Cyrl-BA"/>
        </w:rPr>
        <w:t>ј</w:t>
      </w:r>
      <w:r>
        <w:t>у.</w:t>
      </w:r>
    </w:p>
    <w:p w:rsidR="004C5CCF" w:rsidRDefault="00131D9C">
      <w:pPr>
        <w:pStyle w:val="BodyText"/>
        <w:ind w:left="112" w:right="107"/>
        <w:jc w:val="both"/>
      </w:pPr>
      <w:r>
        <w:t>ЦББ</w:t>
      </w:r>
      <w:r w:rsidR="00CA071B">
        <w:rPr>
          <w:lang w:val="sr-Cyrl-BA"/>
        </w:rPr>
        <w:t>и</w:t>
      </w:r>
      <w:r>
        <w:t>Х ће стога разговарати са министарствима финансија о могућим начинима за добијање стандардизованих рачуноводствених података како би поједноставили процес компил</w:t>
      </w:r>
      <w:r w:rsidR="00CA071B">
        <w:rPr>
          <w:lang w:val="sr-Cyrl-BA"/>
        </w:rPr>
        <w:t>ације</w:t>
      </w:r>
      <w:r>
        <w:t xml:space="preserve"> а тиме омогућили више правовремених података за</w:t>
      </w:r>
      <w:r>
        <w:rPr>
          <w:spacing w:val="-4"/>
        </w:rPr>
        <w:t xml:space="preserve"> </w:t>
      </w:r>
      <w:r>
        <w:t>објављивање.</w:t>
      </w:r>
    </w:p>
    <w:sectPr w:rsidR="004C5CCF">
      <w:pgSz w:w="11910" w:h="16850"/>
      <w:pgMar w:top="1220" w:right="104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7F" w:rsidRDefault="00B23A7F" w:rsidP="00ED5EF2">
      <w:r>
        <w:separator/>
      </w:r>
    </w:p>
  </w:endnote>
  <w:endnote w:type="continuationSeparator" w:id="0">
    <w:p w:rsidR="00B23A7F" w:rsidRDefault="00B23A7F" w:rsidP="00ED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7F" w:rsidRDefault="00B23A7F" w:rsidP="00ED5EF2">
      <w:r>
        <w:separator/>
      </w:r>
    </w:p>
  </w:footnote>
  <w:footnote w:type="continuationSeparator" w:id="0">
    <w:p w:rsidR="00B23A7F" w:rsidRDefault="00B23A7F" w:rsidP="00ED5EF2">
      <w:r>
        <w:continuationSeparator/>
      </w:r>
    </w:p>
  </w:footnote>
  <w:footnote w:id="1">
    <w:p w:rsidR="00ED5EF2" w:rsidRPr="00ED5EF2" w:rsidRDefault="00ED5EF2">
      <w:pPr>
        <w:pStyle w:val="FootnoteText"/>
        <w:rPr>
          <w:lang w:val="sr-Cyrl-BA"/>
        </w:rPr>
      </w:pPr>
      <w:r>
        <w:rPr>
          <w:rStyle w:val="FootnoteReference"/>
        </w:rPr>
        <w:footnoteRef/>
      </w:r>
      <w:r>
        <w:t xml:space="preserve"> </w:t>
      </w:r>
      <w:r w:rsidRPr="00ED5EF2">
        <w:t xml:space="preserve">Од 1.1. 2016 </w:t>
      </w:r>
      <w:r w:rsidR="006D54C2">
        <w:rPr>
          <w:lang w:val="sr-Cyrl-BA"/>
        </w:rPr>
        <w:t>Ф</w:t>
      </w:r>
      <w:r w:rsidRPr="00ED5EF2">
        <w:t>онд за пензионо-инвалидско осигурање РС је укључен у буџет РС и самим тим искључен из подсектора фондови социјалног осигурања.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CF"/>
    <w:rsid w:val="000E7569"/>
    <w:rsid w:val="00131D9C"/>
    <w:rsid w:val="002C7DA2"/>
    <w:rsid w:val="00322E91"/>
    <w:rsid w:val="00486470"/>
    <w:rsid w:val="004C5CCF"/>
    <w:rsid w:val="005117BF"/>
    <w:rsid w:val="006D54C2"/>
    <w:rsid w:val="00764348"/>
    <w:rsid w:val="00B146AF"/>
    <w:rsid w:val="00B23A7F"/>
    <w:rsid w:val="00C21EBE"/>
    <w:rsid w:val="00CA071B"/>
    <w:rsid w:val="00CB6D1E"/>
    <w:rsid w:val="00DF2D51"/>
    <w:rsid w:val="00ED5EF2"/>
    <w:rsid w:val="00F656D5"/>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BBAD3-D3DD-4458-971D-587DE75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D5EF2"/>
    <w:rPr>
      <w:sz w:val="20"/>
      <w:szCs w:val="20"/>
    </w:rPr>
  </w:style>
  <w:style w:type="character" w:customStyle="1" w:styleId="FootnoteTextChar">
    <w:name w:val="Footnote Text Char"/>
    <w:basedOn w:val="DefaultParagraphFont"/>
    <w:link w:val="FootnoteText"/>
    <w:uiPriority w:val="99"/>
    <w:semiHidden/>
    <w:rsid w:val="00ED5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5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METODOLO[KA OBJA[WEWA</vt:lpstr>
    </vt:vector>
  </TitlesOfParts>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METODOLO[KA OBJA[WEWA</dc:title>
  <dc:creator>92m3nam3</dc:creator>
  <cp:lastModifiedBy>Lejla Caklovica</cp:lastModifiedBy>
  <cp:revision>2</cp:revision>
  <dcterms:created xsi:type="dcterms:W3CDTF">2018-10-19T07:37:00Z</dcterms:created>
  <dcterms:modified xsi:type="dcterms:W3CDTF">2018-10-19T07:37:00Z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Microsoft® Word 2013</vt:lpwstr>
  </property>
  <property fmtid="{D5CDD505-2E9C-101B-9397-08002B2CF9AE}" pid="4" name="LastSaved">
    <vt:filetime>2018-10-18T00:00:00Z</vt:filetime>
  </property>
</Properties>
</file>