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879F0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879F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879F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879F0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3879F0">
        <w:rPr>
          <w:rFonts w:ascii="Times New Roman" w:hAnsi="Times New Roman" w:cs="Times New Roman"/>
          <w:sz w:val="24"/>
          <w:szCs w:val="24"/>
        </w:rPr>
        <w:t xml:space="preserve">. 1/97, 29/02, 8/03 13/03, 14/03, 9/05, 76/06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32/07)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A709C9">
        <w:rPr>
          <w:rFonts w:ascii="Times New Roman" w:hAnsi="Times New Roman" w:cs="Times New Roman"/>
          <w:sz w:val="24"/>
          <w:szCs w:val="24"/>
        </w:rPr>
        <w:t xml:space="preserve"> </w:t>
      </w:r>
      <w:r w:rsidR="003879F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</w:t>
      </w:r>
      <w:r w:rsidR="003879F0">
        <w:rPr>
          <w:rFonts w:ascii="Times New Roman" w:hAnsi="Times New Roman" w:cs="Times New Roman"/>
          <w:sz w:val="24"/>
          <w:szCs w:val="24"/>
        </w:rPr>
        <w:t>-122-</w:t>
      </w:r>
      <w:r w:rsidR="007A666B">
        <w:rPr>
          <w:rFonts w:ascii="Times New Roman" w:hAnsi="Times New Roman" w:cs="Times New Roman"/>
          <w:sz w:val="24"/>
          <w:szCs w:val="24"/>
        </w:rPr>
        <w:t>01-1-</w:t>
      </w:r>
      <w:r w:rsidR="002E1534">
        <w:rPr>
          <w:rFonts w:ascii="Times New Roman" w:hAnsi="Times New Roman" w:cs="Times New Roman"/>
          <w:sz w:val="24"/>
          <w:szCs w:val="24"/>
        </w:rPr>
        <w:t>1909-9</w:t>
      </w:r>
      <w:r w:rsidR="003879F0">
        <w:rPr>
          <w:rFonts w:ascii="Times New Roman" w:hAnsi="Times New Roman" w:cs="Times New Roman"/>
          <w:sz w:val="24"/>
          <w:szCs w:val="24"/>
        </w:rPr>
        <w:t xml:space="preserve">/22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A709C9">
        <w:rPr>
          <w:rFonts w:ascii="Times New Roman" w:hAnsi="Times New Roman" w:cs="Times New Roman"/>
          <w:sz w:val="24"/>
          <w:szCs w:val="24"/>
        </w:rPr>
        <w:t xml:space="preserve"> 27.10.2022.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Управн</w:t>
      </w:r>
      <w:r w:rsidR="00AD08EA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D40DD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D40DD4">
        <w:rPr>
          <w:rFonts w:ascii="Times New Roman" w:hAnsi="Times New Roman" w:cs="Times New Roman"/>
          <w:sz w:val="24"/>
          <w:szCs w:val="24"/>
        </w:rPr>
        <w:t xml:space="preserve">од </w:t>
      </w:r>
      <w:r w:rsidR="00D40DD4">
        <w:rPr>
          <w:rFonts w:ascii="Times New Roman" w:hAnsi="Times New Roman" w:cs="Times New Roman"/>
          <w:sz w:val="24"/>
          <w:szCs w:val="24"/>
          <w:lang w:val="en-US"/>
        </w:rPr>
        <w:t xml:space="preserve">27.09. i 29.09.2022.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D40DD4">
        <w:rPr>
          <w:rFonts w:ascii="Times New Roman" w:hAnsi="Times New Roman" w:cs="Times New Roman"/>
          <w:sz w:val="24"/>
          <w:szCs w:val="24"/>
        </w:rPr>
        <w:t xml:space="preserve"> i 14. сједници од </w:t>
      </w:r>
      <w:r w:rsidR="00D40DD4">
        <w:rPr>
          <w:rFonts w:ascii="Times New Roman" w:hAnsi="Times New Roman" w:cs="Times New Roman"/>
          <w:sz w:val="24"/>
          <w:szCs w:val="24"/>
          <w:lang w:val="en-US"/>
        </w:rPr>
        <w:t xml:space="preserve">od 27.10.2022. </w:t>
      </w:r>
      <w:r w:rsidR="00D40DD4"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МЕТОДОЛОГИЈИ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НАДГЛЕДАЊА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ПРВИ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ОПШТЕ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3879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утврђује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08EA">
        <w:rPr>
          <w:rFonts w:ascii="Times New Roman" w:hAnsi="Times New Roman" w:cs="Times New Roman"/>
          <w:b/>
          <w:sz w:val="24"/>
          <w:szCs w:val="24"/>
        </w:rPr>
        <w:t>КРИТЕРИЈУМ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КЛАСИФИКАЦИЈУ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Класификација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>,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које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, </w:t>
      </w:r>
      <w:r w:rsidR="008E3539" w:rsidRPr="004869EB">
        <w:rPr>
          <w:rFonts w:ascii="Times New Roman" w:hAnsi="Times New Roman" w:cs="Times New Roman"/>
          <w:sz w:val="24"/>
          <w:szCs w:val="24"/>
        </w:rPr>
        <w:t>и</w:t>
      </w:r>
    </w:p>
    <w:p w:rsidR="00D90CD1" w:rsidRPr="004869EB" w:rsidRDefault="004869EB" w:rsidP="00486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ц)  </w:t>
      </w:r>
      <w:r w:rsidR="008E3539" w:rsidRPr="004869EB">
        <w:rPr>
          <w:rFonts w:ascii="Times New Roman" w:hAnsi="Times New Roman" w:cs="Times New Roman"/>
          <w:sz w:val="24"/>
          <w:szCs w:val="24"/>
        </w:rPr>
        <w:t>поравнања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плаћања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других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или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поравнања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AD08EA" w:rsidRPr="004869EB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 од </w:t>
      </w:r>
      <w:r w:rsidR="008E3539" w:rsidRPr="004869EB">
        <w:rPr>
          <w:rFonts w:ascii="Times New Roman" w:hAnsi="Times New Roman" w:cs="Times New Roman"/>
          <w:sz w:val="24"/>
          <w:szCs w:val="24"/>
        </w:rPr>
        <w:t>вриједнос</w:t>
      </w:r>
      <w:r w:rsidR="00AD08EA" w:rsidRPr="004869EB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датом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платном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систему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значајног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њему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плаћања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3E505A">
        <w:rPr>
          <w:rFonts w:ascii="Times New Roman" w:hAnsi="Times New Roman" w:cs="Times New Roman"/>
          <w:sz w:val="24"/>
          <w:szCs w:val="24"/>
          <w:lang w:val="sr-Cyrl-BA"/>
        </w:rPr>
        <w:t xml:space="preserve">хартија од </w:t>
      </w:r>
      <w:r>
        <w:rPr>
          <w:rFonts w:ascii="Times New Roman" w:hAnsi="Times New Roman" w:cs="Times New Roman"/>
          <w:sz w:val="24"/>
          <w:szCs w:val="24"/>
        </w:rPr>
        <w:t>вриједнос</w:t>
      </w:r>
      <w:r w:rsidR="003E505A">
        <w:rPr>
          <w:rFonts w:ascii="Times New Roman" w:hAnsi="Times New Roman" w:cs="Times New Roman"/>
          <w:sz w:val="24"/>
          <w:szCs w:val="24"/>
          <w:lang w:val="sr-Cyrl-BA"/>
        </w:rPr>
        <w:t>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Pr="00AD08EA">
        <w:rPr>
          <w:rFonts w:ascii="Times New Roman" w:hAnsi="Times New Roman" w:cs="Times New Roman"/>
          <w:sz w:val="24"/>
          <w:szCs w:val="24"/>
        </w:rPr>
        <w:t>с</w:t>
      </w:r>
      <w:r w:rsidR="00AD08EA" w:rsidRPr="00AD08EA">
        <w:rPr>
          <w:rFonts w:ascii="Times New Roman" w:hAnsi="Times New Roman" w:cs="Times New Roman"/>
          <w:sz w:val="24"/>
          <w:szCs w:val="24"/>
          <w:lang w:val="sr-Cyrl-BA"/>
        </w:rPr>
        <w:t>љ</w:t>
      </w:r>
      <w:r w:rsidRPr="00AD08EA">
        <w:rPr>
          <w:rFonts w:ascii="Times New Roman" w:hAnsi="Times New Roman" w:cs="Times New Roman"/>
          <w:sz w:val="24"/>
          <w:szCs w:val="24"/>
        </w:rPr>
        <w:t>једећих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милијарди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3879F0">
        <w:rPr>
          <w:rFonts w:ascii="Times New Roman" w:hAnsi="Times New Roman" w:cs="Times New Roman"/>
          <w:sz w:val="24"/>
          <w:szCs w:val="24"/>
        </w:rPr>
        <w:t>,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укупан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износи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најмање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10 </w:t>
      </w:r>
      <w:r w:rsidR="008E3539" w:rsidRPr="004869EB">
        <w:rPr>
          <w:rFonts w:ascii="Times New Roman" w:hAnsi="Times New Roman" w:cs="Times New Roman"/>
          <w:sz w:val="24"/>
          <w:szCs w:val="24"/>
        </w:rPr>
        <w:t>милиона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B" w:rsidRDefault="004A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EB" w:rsidRDefault="004A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значајног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BD2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сљедеће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укупна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вриједност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трансакција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претходне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милијарди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90CD1" w:rsidRPr="004869EB" w:rsidRDefault="004869EB" w:rsidP="00486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б)  </w:t>
      </w:r>
      <w:r w:rsidR="008E3539" w:rsidRPr="004869EB">
        <w:rPr>
          <w:rFonts w:ascii="Times New Roman" w:hAnsi="Times New Roman" w:cs="Times New Roman"/>
          <w:sz w:val="24"/>
          <w:szCs w:val="24"/>
        </w:rPr>
        <w:t>да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укупан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број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трансакција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извршених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преко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платног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система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току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претходне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календарске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године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износи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</w:t>
      </w:r>
      <w:r w:rsidR="008E3539" w:rsidRPr="004869EB">
        <w:rPr>
          <w:rFonts w:ascii="Times New Roman" w:hAnsi="Times New Roman" w:cs="Times New Roman"/>
          <w:sz w:val="24"/>
          <w:szCs w:val="24"/>
        </w:rPr>
        <w:t>најмање</w:t>
      </w:r>
      <w:r w:rsidR="003879F0" w:rsidRPr="004869EB">
        <w:rPr>
          <w:rFonts w:ascii="Times New Roman" w:hAnsi="Times New Roman" w:cs="Times New Roman"/>
          <w:sz w:val="24"/>
          <w:szCs w:val="24"/>
        </w:rPr>
        <w:t xml:space="preserve"> 10 </w:t>
      </w:r>
      <w:r w:rsidR="008E3539" w:rsidRPr="004869EB">
        <w:rPr>
          <w:rFonts w:ascii="Times New Roman" w:hAnsi="Times New Roman" w:cs="Times New Roman"/>
          <w:sz w:val="24"/>
          <w:szCs w:val="24"/>
        </w:rPr>
        <w:t>милиона</w:t>
      </w:r>
      <w:r w:rsidR="003879F0" w:rsidRPr="004869EB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осталих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>“.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Класификација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Централне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Платни</w:t>
      </w:r>
      <w:r w:rsidR="00F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FE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бруто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чији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власник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оператер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Доношење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E3539">
        <w:rPr>
          <w:rFonts w:ascii="Times New Roman" w:hAnsi="Times New Roman" w:cs="Times New Roman"/>
          <w:sz w:val="24"/>
          <w:szCs w:val="24"/>
        </w:rPr>
        <w:t>Управн</w:t>
      </w:r>
      <w:r w:rsidR="0094528E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системе</w:t>
      </w:r>
      <w:r w:rsidR="00712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изузев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утврђених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дијелу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донијети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38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E3539">
        <w:rPr>
          <w:rFonts w:ascii="Times New Roman" w:hAnsi="Times New Roman" w:cs="Times New Roman"/>
          <w:sz w:val="24"/>
          <w:szCs w:val="24"/>
        </w:rPr>
        <w:t>Управн</w:t>
      </w:r>
      <w:r w:rsidR="0094528E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донијети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појединачног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EA">
        <w:rPr>
          <w:rFonts w:ascii="Times New Roman" w:hAnsi="Times New Roman" w:cs="Times New Roman"/>
          <w:sz w:val="24"/>
          <w:szCs w:val="24"/>
        </w:rPr>
        <w:t>критеријум</w:t>
      </w:r>
      <w:r w:rsidR="008E35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класификацију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утврђених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дијелу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3539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уколико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оцијени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потребно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због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одржавања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финансијске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стабилности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ТРЕЋИ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СТАНДАРДИ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КЛАСИФИКОВАНОГ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Стандарди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надгледање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требају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испуњени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тржишта</w:t>
      </w:r>
      <w:r w:rsidR="003879F0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утврђене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Принципи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кључна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разматрања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процјену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усклађености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Испуњавање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стандарда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ефикасан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поуздан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несметан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класификованих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нивоа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кључним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разматрањима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3879F0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прописом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надгледању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функционисања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Примјена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кључних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разматрања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Зависно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примјењују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Прилогу</w:t>
      </w:r>
      <w:r w:rsidR="003879F0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сходно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класификацији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sz w:val="24"/>
          <w:szCs w:val="24"/>
        </w:rPr>
        <w:t>“.</w:t>
      </w: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D1" w:rsidRDefault="008E3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B6A">
        <w:rPr>
          <w:rFonts w:ascii="Times New Roman" w:hAnsi="Times New Roman" w:cs="Times New Roman"/>
          <w:b/>
          <w:sz w:val="24"/>
          <w:szCs w:val="24"/>
          <w:lang w:val="sr-Cyrl-BA"/>
        </w:rPr>
        <w:t>ЧЕТВРТИ</w:t>
      </w:r>
      <w:r w:rsidR="00597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D90CD1" w:rsidRPr="00691B63" w:rsidRDefault="00D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0CD1" w:rsidRDefault="008E3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879F0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D90CD1" w:rsidRDefault="00387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3539">
        <w:rPr>
          <w:rFonts w:ascii="Times New Roman" w:hAnsi="Times New Roman" w:cs="Times New Roman"/>
          <w:sz w:val="24"/>
          <w:szCs w:val="24"/>
        </w:rPr>
        <w:t>Завршне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39">
        <w:rPr>
          <w:rFonts w:ascii="Times New Roman" w:hAnsi="Times New Roman" w:cs="Times New Roman"/>
          <w:sz w:val="24"/>
          <w:szCs w:val="24"/>
        </w:rPr>
        <w:t>одредбе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0CD1" w:rsidRDefault="008E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Ова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одлука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ступа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снагу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87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примјењиваће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 w:rsidR="004A1CEB">
        <w:rPr>
          <w:rFonts w:ascii="Times New Roman" w:hAnsi="Times New Roman" w:cs="Times New Roman"/>
          <w:sz w:val="24"/>
          <w:szCs w:val="24"/>
        </w:rPr>
        <w:t xml:space="preserve"> 01.01.</w:t>
      </w:r>
      <w:r w:rsidR="003879F0">
        <w:rPr>
          <w:rFonts w:ascii="Times New Roman" w:hAnsi="Times New Roman" w:cs="Times New Roman"/>
          <w:sz w:val="24"/>
          <w:szCs w:val="24"/>
        </w:rPr>
        <w:t>202</w:t>
      </w:r>
      <w:r w:rsidR="004A1CEB">
        <w:rPr>
          <w:rFonts w:ascii="Times New Roman" w:hAnsi="Times New Roman" w:cs="Times New Roman"/>
          <w:sz w:val="24"/>
          <w:szCs w:val="24"/>
        </w:rPr>
        <w:t>3</w:t>
      </w:r>
      <w:r w:rsidR="00387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hAnsi="Times New Roman" w:cs="Times New Roman"/>
          <w:sz w:val="24"/>
          <w:szCs w:val="24"/>
        </w:rPr>
        <w:t>.</w:t>
      </w:r>
    </w:p>
    <w:p w:rsidR="00D90CD1" w:rsidRDefault="00D9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D90CD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D9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1CEB" w:rsidRDefault="004A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Предсједавајући</w:t>
      </w:r>
    </w:p>
    <w:p w:rsidR="00D90CD1" w:rsidRDefault="008E3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Број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УВ</w:t>
      </w:r>
      <w:r w:rsidR="00DA3DAD">
        <w:rPr>
          <w:rFonts w:ascii="Times New Roman" w:eastAsia="Times New Roman" w:hAnsi="Times New Roman" w:cs="Times New Roman"/>
          <w:sz w:val="24"/>
          <w:szCs w:val="24"/>
          <w:lang w:eastAsia="hr-HR"/>
        </w:rPr>
        <w:t>-122-</w:t>
      </w:r>
      <w:r w:rsidR="00DA3DAD">
        <w:rPr>
          <w:rFonts w:ascii="Times New Roman" w:hAnsi="Times New Roman" w:cs="Times New Roman"/>
          <w:sz w:val="24"/>
          <w:szCs w:val="24"/>
        </w:rPr>
        <w:t>01-1-</w:t>
      </w:r>
      <w:r w:rsidR="00503DE5">
        <w:rPr>
          <w:rFonts w:ascii="Times New Roman" w:hAnsi="Times New Roman" w:cs="Times New Roman"/>
          <w:sz w:val="24"/>
          <w:szCs w:val="24"/>
        </w:rPr>
        <w:t>1909-10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>/22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Управног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28E">
        <w:rPr>
          <w:rFonts w:ascii="Times New Roman" w:eastAsia="Times New Roman" w:hAnsi="Times New Roman" w:cs="Times New Roman"/>
          <w:sz w:val="24"/>
          <w:szCs w:val="24"/>
          <w:lang w:val="sr-Cyrl-BA"/>
        </w:rPr>
        <w:t>одбора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CD1" w:rsidRDefault="008E353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Сарајево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CEB">
        <w:rPr>
          <w:rFonts w:ascii="Times New Roman" w:eastAsia="Times New Roman" w:hAnsi="Times New Roman" w:cs="Times New Roman"/>
          <w:sz w:val="24"/>
          <w:szCs w:val="24"/>
        </w:rPr>
        <w:t xml:space="preserve"> 27.10.2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 xml:space="preserve">022.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3879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Босне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Херцеговине</w:t>
      </w:r>
      <w:r w:rsidR="00387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ГУВЕРНЕР</w:t>
      </w:r>
    </w:p>
    <w:p w:rsidR="00D90CD1" w:rsidRDefault="003879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Сенад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3539">
        <w:rPr>
          <w:rFonts w:ascii="Times New Roman" w:eastAsia="Times New Roman" w:hAnsi="Times New Roman" w:cs="Times New Roman"/>
          <w:sz w:val="24"/>
          <w:szCs w:val="24"/>
          <w:lang w:eastAsia="hr-HR"/>
        </w:rPr>
        <w:t>Софтић</w:t>
      </w:r>
    </w:p>
    <w:p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90CD1" w:rsidRDefault="008E3539">
      <w:pPr>
        <w:spacing w:before="80"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1. „</w:t>
      </w:r>
      <w:r>
        <w:rPr>
          <w:rFonts w:ascii="Times New Roman" w:hAnsi="Times New Roman" w:cs="Times New Roman"/>
          <w:b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платних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транспарентну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52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691B6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</w:t>
            </w:r>
            <w:r w:rsidR="00691B6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јурисдикције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захтијевају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интероперабилност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имобилизација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дематеријализација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PvP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маржама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23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Законск</w:t>
            </w:r>
            <w:r w:rsidR="00691B63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  <w:p w:rsidR="00D90CD1" w:rsidRDefault="008E3539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lang w:val="bs-Latn-BA"/>
              </w:rPr>
              <w:t>П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.1.1.3: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Како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осигурава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његов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sz w:val="24"/>
                <w:lang w:val="sr-Cyrl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691B63">
              <w:rPr>
                <w:rFonts w:ascii="Times New Roman" w:eastAsiaTheme="minorHAnsi" w:hAnsi="Times New Roman"/>
                <w:sz w:val="24"/>
                <w:lang w:val="bs-Latn-BA"/>
              </w:rPr>
              <w:t>основ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то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јест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оквир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уговори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)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пружа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висок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степен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правне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сигурности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сваки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материјални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аспект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активности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платног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система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у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свим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релевантним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јурисдикцијама</w:t>
            </w:r>
            <w:r w:rsidR="003879F0">
              <w:rPr>
                <w:rFonts w:ascii="Times New Roman" w:eastAsiaTheme="minorHAnsi" w:hAnsi="Times New Roman"/>
                <w:sz w:val="24"/>
                <w:lang w:val="bs-Latn-BA"/>
              </w:rPr>
              <w:t>?</w:t>
            </w:r>
          </w:p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-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За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који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има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аранжман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нетирања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осигурава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његов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i/>
                <w:sz w:val="24"/>
                <w:lang w:val="sr-Cyrl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проводивост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тог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аранжмана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?</w:t>
            </w:r>
          </w:p>
          <w:p w:rsidR="00D90CD1" w:rsidRDefault="003879F0" w:rsidP="00691B63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both"/>
              <w:rPr>
                <w:rFonts w:ascii="Times New Roman" w:eastAsiaTheme="minorHAnsi" w:hAnsi="Times New Roman"/>
                <w:i/>
                <w:sz w:val="24"/>
                <w:lang w:val="bs-Latn-BA"/>
              </w:rPr>
            </w:pP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-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поравнања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јавља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платном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систему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>,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како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осигурава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његов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</w:t>
            </w:r>
            <w:r w:rsidR="00691B63">
              <w:rPr>
                <w:rFonts w:ascii="Times New Roman" w:eastAsiaTheme="minorHAnsi" w:hAnsi="Times New Roman"/>
                <w:i/>
                <w:sz w:val="24"/>
                <w:lang w:val="sr-Cyrl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трансакција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укључујући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оне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од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инсолвентних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учесника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?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Да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ли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правна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основа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за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механизме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AD08EA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спољн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ог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поравнања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које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користи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платни</w:t>
            </w:r>
            <w:r>
              <w:rPr>
                <w:rFonts w:ascii="Times New Roman" w:eastAsiaTheme="minorHAnsi" w:hAnsi="Times New Roman"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sz w:val="24"/>
                <w:lang w:val="bs-Latn-BA"/>
              </w:rPr>
              <w:t>систем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као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што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пренос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средстава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или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системи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преноса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3E505A">
              <w:rPr>
                <w:rFonts w:ascii="Times New Roman" w:eastAsiaTheme="minorHAnsi" w:hAnsi="Times New Roman"/>
                <w:i/>
                <w:sz w:val="24"/>
                <w:lang w:val="sr-Cyrl-BA"/>
              </w:rPr>
              <w:t xml:space="preserve">хартија од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вриједнос</w:t>
            </w:r>
            <w:r w:rsidR="003E505A">
              <w:rPr>
                <w:rFonts w:ascii="Times New Roman" w:eastAsiaTheme="minorHAnsi" w:hAnsi="Times New Roman"/>
                <w:i/>
                <w:sz w:val="24"/>
                <w:lang w:val="sr-Cyrl-BA"/>
              </w:rPr>
              <w:t>ти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,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такође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подржавају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ту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 xml:space="preserve"> </w:t>
            </w:r>
            <w:r w:rsidR="008E3539">
              <w:rPr>
                <w:rFonts w:ascii="Times New Roman" w:eastAsiaTheme="minorHAnsi" w:hAnsi="Times New Roman"/>
                <w:i/>
                <w:sz w:val="24"/>
                <w:lang w:val="bs-Latn-BA"/>
              </w:rPr>
              <w:t>коначност</w:t>
            </w:r>
            <w:r>
              <w:rPr>
                <w:rFonts w:ascii="Times New Roman" w:eastAsiaTheme="minorHAnsi" w:hAnsi="Times New Roman"/>
                <w:i/>
                <w:sz w:val="24"/>
                <w:lang w:val="bs-Latn-BA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разумљиви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досљедни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досљедни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недосљедности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ријешене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оцијењени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артикулисати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разумљив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Примјењивост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повјерења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.1.4.2: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постиже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извјесности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радње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поступцима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уговорима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поништене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учињене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неважећим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одгађања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одговор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навести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.1.4.3: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суд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јурисдикцији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икада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сматрао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аранжамани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склопу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непроводиви</w:t>
            </w:r>
            <w:r w:rsidR="003879F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</w:tr>
      <w:tr w:rsidR="00D90CD1">
        <w:trPr>
          <w:trHeight w:val="66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транспарентни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промовишу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558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.2.1.1: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учинак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.2.1.2: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подржавају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109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.2.2.1: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.2.2.2: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</w:t>
            </w:r>
            <w:r w:rsidR="00986EA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6E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уочени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раздвајање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надгледања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ind w:left="720" w:hanging="7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Објављивање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аранжмана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управљања</w:t>
            </w:r>
            <w:r w:rsidR="003879F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прецизирани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сукобима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цјелини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потицаји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дугорочно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мјешавину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менаџмента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вјештине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интегритет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мјешавину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вјештина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уклањања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81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додјељује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овлашћења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додјељује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ванредним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81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Овлаш</w:t>
            </w:r>
            <w:r w:rsidR="00860C3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овлаш</w:t>
            </w:r>
            <w:r w:rsidR="00860C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.2.6.5: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усвајања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легитимне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ревелантних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снажан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.2.7.1: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доношењу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стратегијом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.2.7.2: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консултација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сукоби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9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свеобухватно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помажу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6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дјелотворност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.3.1.7: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интензитету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промјењиво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393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подстицаје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контролишу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развијати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Значајни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ризици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3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актуелно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изазива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забринутост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цијелог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припреми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спријечити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затварање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.3.4.5: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произаћи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одражавао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промјењиво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прерачунава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прерачунавати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9E18CF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насупрот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95D">
              <w:rPr>
                <w:rFonts w:ascii="Times New Roman" w:hAnsi="Times New Roman" w:cs="Times New Roman"/>
                <w:sz w:val="24"/>
                <w:szCs w:val="24"/>
              </w:rPr>
              <w:t>DvP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задужења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унутардневној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видјети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Покривеност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учеснику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8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проистиче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створиле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алоцирали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непокривени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отплату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позајмити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Алокација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кредитних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губитака</w:t>
            </w:r>
          </w:p>
          <w:p w:rsidR="00D90CD1" w:rsidRDefault="008E3539" w:rsidP="00C107F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.4.7.1: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суочити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алокацију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непокривених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редослиједом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.4.7.2: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исцрпљена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захтијева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властитом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конзервативне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27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примјењиве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ограничавањем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Пракса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C109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овлаш</w:t>
            </w:r>
            <w:r w:rsidR="00C1095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дискреционо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Пракса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мјера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нарочито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812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смањила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процикличким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прилагођавањима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конзервативне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подешене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 w:rsidP="00C109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C1095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процикличност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подешених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смањење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процикличним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подешавања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концентрисано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умањило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концентрисаних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неповољни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485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флексибилан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.5.6.1: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.5.6.2: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колатерале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флексибилност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.5.6.4: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оспособљен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повјерења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придружених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генерисало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јављају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.7.2.2: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благовременој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унутардневне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908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придружених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генерисало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унутардневног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вишедневног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генерисали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највећу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процијењена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мањка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4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рејтинга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девизних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свопова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реоткупа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утрживи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конвертибилне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претходно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залагање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располагању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.7.4.1: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квалификованих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покриће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претварање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препреке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издаваоца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AD4915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52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свопове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реоткуп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42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42">
              <w:rPr>
                <w:rFonts w:ascii="Times New Roman" w:hAnsi="Times New Roman" w:cs="Times New Roman"/>
                <w:sz w:val="24"/>
                <w:szCs w:val="24"/>
              </w:rPr>
              <w:t>hoc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рутинском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дијелом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34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Расположивост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добијање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унапријед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колатерал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F074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.7.5.5: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допунских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заједно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8)?</w:t>
            </w:r>
          </w:p>
        </w:tc>
      </w:tr>
      <w:tr w:rsidR="00D90CD1">
        <w:trPr>
          <w:trHeight w:val="841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ригорозна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Употреба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</w:t>
            </w:r>
          </w:p>
          <w:p w:rsidR="00D90CD1" w:rsidRDefault="008E3539" w:rsidP="002F074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2F07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пружалаца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0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Поузданост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7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Pr="008372E7" w:rsidRDefault="008E3539" w:rsidP="003E505A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рачунима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побољшање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.7.7.1: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квалификован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побољшање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проширењем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.7.7.4: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ригорозно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провођењу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размотри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 w:rsidP="003A33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детерминанте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кривуље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хоризонтима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депозитарске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обухватити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вишедневни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подржавајуће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стрес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6ED">
              <w:rPr>
                <w:rFonts w:ascii="Times New Roman" w:hAnsi="Times New Roman" w:cs="Times New Roman"/>
                <w:sz w:val="24"/>
                <w:szCs w:val="24"/>
              </w:rPr>
              <w:t xml:space="preserve">нa стрес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681E5D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извјештавање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E5D">
              <w:rPr>
                <w:rFonts w:ascii="Times New Roman" w:hAnsi="Times New Roman" w:cs="Times New Roman"/>
                <w:sz w:val="24"/>
                <w:szCs w:val="24"/>
              </w:rPr>
              <w:t xml:space="preserve">тестова нa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доносиоцима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евалуацији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стрес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</w:t>
            </w:r>
            <w:r w:rsidR="00A44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детерминанте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хоризонтима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368">
              <w:rPr>
                <w:rFonts w:ascii="Times New Roman" w:hAnsi="Times New Roman" w:cs="Times New Roman"/>
                <w:sz w:val="24"/>
                <w:szCs w:val="24"/>
              </w:rPr>
              <w:t xml:space="preserve">тестови нa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одложено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22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потврда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претпоставки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7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0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EB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увјете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изненадно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потврђује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провјеру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942B16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.7.8.8: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документује</w:t>
            </w:r>
            <w:r w:rsidR="0094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подршку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3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9 </w:t>
            </w:r>
          </w:p>
          <w:p w:rsidR="00D90CD1" w:rsidRDefault="008E3539">
            <w:pPr>
              <w:pStyle w:val="Paragraph"/>
              <w:spacing w:before="80" w:after="80"/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успостави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експлицитна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омогућавају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платном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изврши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истог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гдје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могуће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дневно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вишедневно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плаћања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вријеме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слиједи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након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било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којег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појединачног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комбинованог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неизвршења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међу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учесницима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Ова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односе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непредвиђене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потенцијално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непокривене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недостатке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ликвидности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требало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би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имају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циљ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избјегавање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поништења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опозивања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одгађања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поравнања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обавеза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плаћања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истог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Ова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правила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процедуре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 w:rsidR="00691B63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такође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укажу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процес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платног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система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за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обезбјеђење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ресурса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ликвидности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који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може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користити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току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стресног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догађаја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тако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може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наставити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да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ради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сигуран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>начин</w:t>
            </w:r>
            <w:r w:rsidR="003879F0">
              <w:rPr>
                <w:rFonts w:ascii="Times New Roman" w:eastAsiaTheme="minorHAnsi" w:hAnsi="Times New Roman"/>
                <w:sz w:val="24"/>
                <w:szCs w:val="24"/>
                <w:lang w:val="bs-Latn-BA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непокривене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поништавање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535"/>
          <w:jc w:val="center"/>
        </w:trPr>
        <w:tc>
          <w:tcPr>
            <w:tcW w:w="1810" w:type="pct"/>
            <w:vMerge/>
          </w:tcPr>
          <w:p w:rsidR="00D90CD1" w:rsidRDefault="00D90CD1">
            <w:pPr>
              <w:pStyle w:val="Paragraph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Обезбјеђење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.7.9.3: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9"/>
        <w:gridCol w:w="5878"/>
      </w:tblGrid>
      <w:tr w:rsidR="00D90CD1">
        <w:trPr>
          <w:jc w:val="center"/>
        </w:trPr>
        <w:tc>
          <w:tcPr>
            <w:tcW w:w="9067" w:type="dxa"/>
            <w:gridSpan w:val="2"/>
            <w:shd w:val="pct5" w:color="auto" w:fill="auto"/>
          </w:tcPr>
          <w:p w:rsidR="00D90CD1" w:rsidRDefault="003879F0">
            <w:pPr>
              <w:pStyle w:val="Paragraph"/>
              <w:spacing w:before="80" w:after="80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br w:type="page"/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Принцип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8. </w:t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Коначност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 w:rsidR="008E3539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поравнања</w:t>
            </w:r>
          </w:p>
          <w:p w:rsidR="00D90CD1" w:rsidRDefault="008E3539">
            <w:pPr>
              <w:pStyle w:val="Paragraph"/>
              <w:spacing w:before="80" w:after="80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обезбиједити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јасно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одређено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коначно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најкасније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краја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дана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на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датум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валуте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.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Када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је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потребно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или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пожељно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,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платни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систем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треба</w:t>
            </w:r>
            <w:r w:rsidR="003879F0">
              <w:rPr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обезбиједити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финално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поравнање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току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дана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или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реалном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времену</w:t>
            </w:r>
            <w:r w:rsidR="003879F0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bs-Latn-BA"/>
              </w:rPr>
              <w:t>.</w:t>
            </w:r>
          </w:p>
        </w:tc>
      </w:tr>
      <w:tr w:rsidR="00D90CD1">
        <w:trPr>
          <w:trHeight w:val="690"/>
          <w:jc w:val="center"/>
        </w:trPr>
        <w:tc>
          <w:tcPr>
            <w:tcW w:w="3189" w:type="dxa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Тачка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неопозиво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несолвентности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јурисдикцијама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прибављањем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мишљења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690"/>
          <w:jc w:val="center"/>
        </w:trPr>
        <w:tc>
          <w:tcPr>
            <w:tcW w:w="3189" w:type="dxa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повезаности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3189" w:type="dxa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смањио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размислити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усвајању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валуте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доживио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сљедећи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одгађање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спријечи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слична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будућности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74"/>
          <w:jc w:val="center"/>
        </w:trPr>
        <w:tc>
          <w:tcPr>
            <w:tcW w:w="3189" w:type="dxa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Финално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времену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обезбјеђује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обавјештавају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учесталост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хартија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сљедећу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.8.2.5: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модалитета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БПРВ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вишеструке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440"/>
          <w:jc w:val="center"/>
        </w:trPr>
        <w:tc>
          <w:tcPr>
            <w:tcW w:w="3189" w:type="dxa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опозване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8" w:type="dxa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једнострано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даље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непоравнате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изузетке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опозив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E1125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.8.3.4: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Новчана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  <w:p w:rsidR="00D90CD1" w:rsidRDefault="008E3539" w:rsidP="008372E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</w:t>
            </w:r>
            <w:r w:rsidR="008372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изводљиво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 w:rsidP="008372E7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кориш</w:t>
            </w:r>
            <w:r w:rsidR="008372E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новцем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новцу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комерцијалне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капитализације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придржавају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регулативу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капитализацију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поузданост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комерцијалних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концентрацијом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притиске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највеће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1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стриктно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очекује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књигама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банака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изврше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споразумима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одвијају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.9.5.2: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преносиви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унутар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размјене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</w:p>
          <w:p w:rsidR="00D90CD1" w:rsidRDefault="008E3539" w:rsidP="003E505A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подмирује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елиминисати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условљавањем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измирењем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266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елиминисати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принципијала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подмирује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основицу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елиминише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принципијала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испоручи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дође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="008372E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.12.1.3: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истовремена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правоснажности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измирења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заштићена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 w:rsidP="0095546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сачињена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апсорбује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01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надопуну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дефинишу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сљедеће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прогласи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аутоматске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дискреционе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уобичајене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очекивани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клијентских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вјероватан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редосљед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пропустили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спријече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99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1E1F18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Коришћ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ијских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одмах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спречавање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притисака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олакшице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редослијед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допуњавање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припремљен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дискрециону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</w:t>
            </w:r>
            <w:r w:rsidR="004318E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регулаторе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супервизоре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надгледања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59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предузети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третман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помажу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клијентима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спроведени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ангажује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дијеле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ови</w:t>
            </w:r>
            <w:r w:rsidR="0068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губици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остваре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Надаље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довољна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уредно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затварање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0CD1">
        <w:trPr>
          <w:trHeight w:val="15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готовинске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неочекиване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претјерано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новчани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власништву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ирану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заједничке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2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акције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задржане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оснивачким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одређена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потребним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временом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наставити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случају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губитке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.15.2.2: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27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уређен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затварања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имплементирао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полугодишњим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неизвршења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F18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ијских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базираним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опоравак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уредно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затварање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опоравка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уредног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затварања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технолошке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алтернативни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558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полугодишњих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намијењени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одвојени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намијењених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неиспуњења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покривених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.15.3.4: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62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општих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утржива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неповољне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.15.4.1: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утржити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никакав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губитак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неповољним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.15.4.2: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неповољне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одржив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докапитализацију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.15.5.3: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F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еквивалента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скрбништва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кашњења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79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надзираним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регулисаним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одабира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субјеката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придржавање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снажне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штите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381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обезбјеђују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чврст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спровођењу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власничких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3E505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имовини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</w:t>
            </w:r>
            <w:r w:rsidR="003E505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законској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јурисдикцији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неиспуњавања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2259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процијенити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разумјети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23B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диверзифицирао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скрбничким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 w:rsidP="002457A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висококвалитетних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стратегија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цјелокупном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висококвалитетних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потраживања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Карактеристике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улагања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укупну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дужнику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одабиру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избјегла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хартије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</w:t>
            </w:r>
            <w:r w:rsidR="003E505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457A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.16.4.5: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никаквим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унутрашње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извршење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размјера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EA23B5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снажан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</w:t>
            </w:r>
            <w:r w:rsidR="00EA23B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кују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потичу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екстерних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неуспјеха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пословању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ризиком</w:t>
            </w:r>
          </w:p>
          <w:p w:rsidR="00D90CD1" w:rsidRDefault="008E3539" w:rsidP="006C6D34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59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људске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запошљавање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задржавање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квалификованог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флуктуације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људским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превенцијом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превара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.17.1.6: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ненамјерно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утичу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примјењивати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оквир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експлицитно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35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квалитативни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квантитативни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постизање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C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дузима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скалабилан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скалабилност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пројицираних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волумена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превазилази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пријетње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Физичка</w:t>
            </w:r>
            <w:r w:rsidR="0038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сигурност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вјероватних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пријетњи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Информациона</w:t>
            </w:r>
            <w:r w:rsidR="0038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сигурност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.17.5.3: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управљање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пројектима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континуирано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могућих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извора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рањивости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пријетњи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2D38CB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ој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D90CD1" w:rsidRDefault="008E3539" w:rsidP="002D38CB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.17.5.4: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узимају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обзир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међународне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националне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индустријске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r w:rsidR="002D38CB"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D90CD1">
        <w:trPr>
          <w:trHeight w:val="1197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обухвата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проузроковати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дизајниран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приликама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брзи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9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ометајућих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осмишљен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прекида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губитка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реконсилијација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трећим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кризним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рјешавају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710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локација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31">
              <w:rPr>
                <w:rFonts w:ascii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секундарна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лоцирана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географској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удаљености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примарне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алтернативне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папирне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алтернативе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екстремним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9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тестирање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сценарија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поремећаје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преиспитују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.17.6.8: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980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38CB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ангажовао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 w:rsidRPr="002D38CB">
              <w:rPr>
                <w:rFonts w:ascii="Times New Roman" w:hAnsi="Times New Roman" w:cs="Times New Roman"/>
                <w:sz w:val="24"/>
                <w:szCs w:val="24"/>
              </w:rPr>
              <w:t>спољн</w:t>
            </w:r>
            <w:r w:rsidRPr="002D3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добављаче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критичног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пружаоца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поузданости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непредвиђеним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остале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.17.7.4: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континуитету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међузависним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Приступ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објективан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AD08EA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5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прихватљиве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настојати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успостави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Оправданост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оправдани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смислу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сигурности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сразмјерни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засновани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831B1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подлијежу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образложење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трећих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нерегулисани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субјекти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177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.18.2.4: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ревидирају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рестриктиван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одржавањем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05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90CD1" w:rsidRDefault="008E3539" w:rsidP="00831B12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.18.2.5: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8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надгледати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усклађеност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редовној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регулисан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несметан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прекршио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усклађености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креиране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усклађености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правовремене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појачаног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наметање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додатних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погоршава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237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Суспензија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несметан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излаз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суспензију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.18.3.4: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суспензију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излазак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произилазе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</w:p>
        </w:tc>
        <w:tc>
          <w:tcPr>
            <w:tcW w:w="3190" w:type="pct"/>
          </w:tcPr>
          <w:p w:rsidR="00D90CD1" w:rsidRPr="00AD08EA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прикупљају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125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процјењује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4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везе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утицати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 w:rsidP="002D38C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вриједност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.19.3.1: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идентификовао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дјелују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значајан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капацитет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.19.3.2: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прегледати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преузети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ублажи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.19.4.1: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умањили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произлазе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аранжмана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индиректног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 w:rsidP="00831B1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.19.4.2: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83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EA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ублажава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испуњавању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35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клириншких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укључујући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аранжман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клиринга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поравнања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испоруке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његове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обзир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наставља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испуњавати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мијењају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захтјеви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примјер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0C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повратних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D90CD1">
        <w:trPr>
          <w:trHeight w:val="2105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подручју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управљању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дефинисане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мјерљиви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оствариви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.21.2.3: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постигнути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измјери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успостављен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мјерила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процјену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.21.3.2: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оцјењује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ефикасност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плаћање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поравнање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евидентирање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признатим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.22.1.1: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</w:t>
            </w:r>
            <w:r w:rsidR="002D38C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.22.1.2: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прекограничним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операцијама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прекограничне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16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прихваћене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прекограничне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.22.1.5: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ниједан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преводе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еквивалент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обрнуто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pStyle w:val="ListParagraph"/>
        <w:spacing w:before="80" w:after="8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797"/>
      </w:tblGrid>
      <w:tr w:rsidR="00D90CD1">
        <w:trPr>
          <w:jc w:val="center"/>
        </w:trPr>
        <w:tc>
          <w:tcPr>
            <w:tcW w:w="5000" w:type="pct"/>
            <w:gridSpan w:val="2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тржишних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података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довољно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разумијевање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CD1">
        <w:trPr>
          <w:trHeight w:val="893"/>
          <w:jc w:val="center"/>
        </w:trPr>
        <w:tc>
          <w:tcPr>
            <w:tcW w:w="1810" w:type="pct"/>
            <w:vMerge w:val="restar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усвојити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потпуности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предочена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утврђује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свеобухватни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892"/>
          <w:jc w:val="center"/>
        </w:trPr>
        <w:tc>
          <w:tcPr>
            <w:tcW w:w="1810" w:type="pct"/>
            <w:vMerge/>
          </w:tcPr>
          <w:p w:rsidR="00D90CD1" w:rsidRDefault="00D90CD1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Објављивања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нестандардним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предвидивим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догађајима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слиједи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релевантна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кључне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44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дизајна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функционисања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процијенити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сусрести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учествујући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погледу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="009F60E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.23.2.3: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насталим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неопходну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олакша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разумију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својим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олакшава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разумијевање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повезаних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учесницима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суочавају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.23.3.3: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учесника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показује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неразумијевање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корективне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подузима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790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D90CD1" w:rsidRDefault="008E3539" w:rsidP="009F60E0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нуди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обезбиједити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јасан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наплаћених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поређења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накнаде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појединачних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везано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попусте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благовремено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обавјештава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цијени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дозвољавају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поређење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сличним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.23.4.4: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својој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процедурама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утичу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трошкове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CD1">
        <w:trPr>
          <w:trHeight w:val="1474"/>
          <w:jc w:val="center"/>
        </w:trPr>
        <w:tc>
          <w:tcPr>
            <w:tcW w:w="181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CPSS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IOSCO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63">
              <w:rPr>
                <w:rFonts w:ascii="Times New Roman" w:hAnsi="Times New Roman" w:cs="Times New Roman"/>
                <w:sz w:val="24"/>
                <w:szCs w:val="24"/>
              </w:rPr>
              <w:t>такође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објавити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обимима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трансакција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</w:tcPr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посљедњи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одговорио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CPSS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0E0">
              <w:rPr>
                <w:rFonts w:ascii="Times New Roman" w:hAnsi="Times New Roman" w:cs="Times New Roman"/>
                <w:sz w:val="24"/>
                <w:szCs w:val="24"/>
              </w:rPr>
              <w:t>IOSC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Оквир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објављивања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финансијског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тржишта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“?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материјалних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промјена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његовом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квантитативне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ажурирају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CD1" w:rsidRDefault="008E353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.23.5.4: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објављује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јавности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језику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језицима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објављене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90CD1" w:rsidRDefault="00D90CD1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3879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90CD1" w:rsidRDefault="008E3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2. „</w:t>
      </w:r>
      <w:r>
        <w:rPr>
          <w:rFonts w:ascii="Times New Roman" w:hAnsi="Times New Roman" w:cs="Times New Roman"/>
          <w:b/>
          <w:sz w:val="24"/>
          <w:szCs w:val="24"/>
        </w:rPr>
        <w:t>Принципи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кључна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разматрања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процјену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усклађености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сходно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класификацији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платног</w:t>
      </w:r>
      <w:r w:rsidR="003879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система</w:t>
      </w:r>
      <w:r w:rsidR="003879F0">
        <w:rPr>
          <w:rFonts w:ascii="Times New Roman" w:hAnsi="Times New Roman" w:cs="Times New Roman"/>
          <w:b/>
          <w:sz w:val="24"/>
          <w:szCs w:val="24"/>
        </w:rPr>
        <w:t>“</w:t>
      </w:r>
    </w:p>
    <w:p w:rsidR="00D90CD1" w:rsidRDefault="008E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</w:t>
      </w:r>
      <w:r w:rsidR="003879F0">
        <w:rPr>
          <w:rFonts w:ascii="Times New Roman" w:hAnsi="Times New Roman" w:cs="Times New Roman"/>
          <w:sz w:val="24"/>
          <w:szCs w:val="24"/>
        </w:rPr>
        <w:t>: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СЗПС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Системски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Значајни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D1" w:rsidRDefault="008E3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ОПС</w:t>
      </w:r>
      <w:r w:rsidR="003879F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Остали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системи</w:t>
      </w:r>
      <w:r w:rsidR="00387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D1" w:rsidRDefault="00D90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7"/>
        <w:gridCol w:w="1078"/>
        <w:gridCol w:w="876"/>
        <w:gridCol w:w="732"/>
        <w:gridCol w:w="763"/>
      </w:tblGrid>
      <w:tr w:rsidR="00D90CD1">
        <w:trPr>
          <w:jc w:val="center"/>
        </w:trPr>
        <w:tc>
          <w:tcPr>
            <w:tcW w:w="3711" w:type="pct"/>
            <w:gridSpan w:val="2"/>
            <w:vMerge w:val="restart"/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gridSpan w:val="3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vMerge/>
            <w:shd w:val="pct5" w:color="auto" w:fill="auto"/>
            <w:vAlign w:val="center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СЗПС</w:t>
            </w:r>
          </w:p>
        </w:tc>
        <w:tc>
          <w:tcPr>
            <w:tcW w:w="439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ЗПС</w:t>
            </w:r>
          </w:p>
        </w:tc>
        <w:tc>
          <w:tcPr>
            <w:tcW w:w="415" w:type="pct"/>
            <w:shd w:val="pct5" w:color="auto" w:fill="auto"/>
          </w:tcPr>
          <w:p w:rsidR="00D90CD1" w:rsidRDefault="008E3539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ОПС</w:t>
            </w:r>
          </w:p>
        </w:tc>
      </w:tr>
      <w:tr w:rsidR="00D90CD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Правни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свеобухватно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управљање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Колатерал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ликвидности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Коначност</w:t>
            </w:r>
            <w:r w:rsidR="00387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</w:p>
        </w:tc>
        <w:tc>
          <w:tcPr>
            <w:tcW w:w="436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2F2F2" w:themeFill="background1" w:themeFillShade="F2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Новчана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поравнања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поравнања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размјене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учесниково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неизвршење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плаћања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пословни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скрбништва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ризик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Приступ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учешћа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Аранжмани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bottom w:val="single" w:sz="4" w:space="0" w:color="auto"/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hAnsi="Times New Roman" w:cs="Times New Roman"/>
                <w:b/>
                <w:sz w:val="24"/>
                <w:szCs w:val="24"/>
              </w:rPr>
              <w:t>комуникације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711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90CD1" w:rsidRDefault="003879F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тржишних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5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података</w:t>
            </w:r>
          </w:p>
        </w:tc>
        <w:tc>
          <w:tcPr>
            <w:tcW w:w="436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shd w:val="pct5" w:color="auto" w:fill="auto"/>
          </w:tcPr>
          <w:p w:rsidR="00D90CD1" w:rsidRDefault="00D90CD1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15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D90CD1">
        <w:trPr>
          <w:jc w:val="center"/>
        </w:trPr>
        <w:tc>
          <w:tcPr>
            <w:tcW w:w="3076" w:type="pct"/>
            <w:tcBorders>
              <w:right w:val="nil"/>
            </w:tcBorders>
          </w:tcPr>
          <w:p w:rsidR="00D90CD1" w:rsidRDefault="008E3539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Кључно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разматрање</w:t>
            </w:r>
            <w:r w:rsidR="0038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35" w:type="pct"/>
            <w:tcBorders>
              <w:left w:val="nil"/>
            </w:tcBorders>
          </w:tcPr>
          <w:p w:rsidR="00D90CD1" w:rsidRDefault="00D90CD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D90CD1" w:rsidRDefault="003879F0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39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5" w:type="pct"/>
          </w:tcPr>
          <w:p w:rsidR="00D90CD1" w:rsidRDefault="00D90CD1">
            <w:pPr>
              <w:pStyle w:val="ListBullet"/>
              <w:numPr>
                <w:ilvl w:val="0"/>
                <w:numId w:val="0"/>
              </w:numPr>
              <w:spacing w:before="80" w:after="8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90CD1" w:rsidRDefault="00D90CD1">
      <w:pPr>
        <w:spacing w:line="22" w:lineRule="auto"/>
        <w:rPr>
          <w:rFonts w:ascii="Times New Roman" w:hAnsi="Times New Roman" w:cs="Times New Roman"/>
          <w:sz w:val="24"/>
          <w:szCs w:val="24"/>
        </w:rPr>
      </w:pPr>
    </w:p>
    <w:p w:rsidR="00D90CD1" w:rsidRDefault="00D90CD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90CD1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974" w:rsidRDefault="00E94974">
      <w:pPr>
        <w:spacing w:after="0" w:line="240" w:lineRule="auto"/>
      </w:pPr>
      <w:r>
        <w:separator/>
      </w:r>
    </w:p>
  </w:endnote>
  <w:endnote w:type="continuationSeparator" w:id="0">
    <w:p w:rsidR="00E94974" w:rsidRDefault="00E9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dE Neue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938846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1B63" w:rsidRDefault="00691B63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03DE5">
              <w:rPr>
                <w:rFonts w:ascii="Times New Roman" w:hAnsi="Times New Roman" w:cs="Times New Roman"/>
                <w:b/>
                <w:bCs/>
                <w:noProof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03DE5">
              <w:rPr>
                <w:rFonts w:ascii="Times New Roman" w:hAnsi="Times New Roman" w:cs="Times New Roman"/>
                <w:b/>
                <w:bCs/>
                <w:noProof/>
              </w:rPr>
              <w:t>44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974" w:rsidRDefault="00E94974">
      <w:pPr>
        <w:spacing w:after="0" w:line="240" w:lineRule="auto"/>
      </w:pPr>
      <w:r>
        <w:separator/>
      </w:r>
    </w:p>
  </w:footnote>
  <w:footnote w:type="continuationSeparator" w:id="0">
    <w:p w:rsidR="00E94974" w:rsidRDefault="00E9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845E9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82AD"/>
        <w:sz w:val="21"/>
      </w:rPr>
    </w:lvl>
  </w:abstractNum>
  <w:abstractNum w:abstractNumId="6" w15:restartNumberingAfterBreak="0">
    <w:nsid w:val="05BF1E56"/>
    <w:multiLevelType w:val="hybridMultilevel"/>
    <w:tmpl w:val="FAC60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3253E"/>
    <w:multiLevelType w:val="hybridMultilevel"/>
    <w:tmpl w:val="00AE8680"/>
    <w:lvl w:ilvl="0" w:tplc="5F6C4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63B05"/>
    <w:multiLevelType w:val="hybridMultilevel"/>
    <w:tmpl w:val="D7186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428E7"/>
    <w:multiLevelType w:val="hybridMultilevel"/>
    <w:tmpl w:val="D934299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D6BF5"/>
    <w:multiLevelType w:val="hybridMultilevel"/>
    <w:tmpl w:val="A378ABA2"/>
    <w:lvl w:ilvl="0" w:tplc="04090001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19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A4C50"/>
    <w:multiLevelType w:val="hybridMultilevel"/>
    <w:tmpl w:val="65F01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B4A2B"/>
    <w:multiLevelType w:val="hybridMultilevel"/>
    <w:tmpl w:val="684A422C"/>
    <w:lvl w:ilvl="0" w:tplc="F47865F6">
      <w:start w:val="1"/>
      <w:numFmt w:val="decimal"/>
      <w:pStyle w:val="AnnAppParagraphNumbering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bCs/>
        <w:i w:val="0"/>
        <w:iCs w:val="0"/>
        <w:sz w:val="24"/>
        <w:szCs w:val="24"/>
      </w:rPr>
    </w:lvl>
    <w:lvl w:ilvl="1" w:tplc="04F465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AE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E638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26D2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58A1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DC09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10DA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9A61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3D7BB7"/>
    <w:multiLevelType w:val="hybridMultilevel"/>
    <w:tmpl w:val="18CA4242"/>
    <w:lvl w:ilvl="0" w:tplc="70FCD140">
      <w:start w:val="1"/>
      <w:numFmt w:val="decimal"/>
      <w:lvlText w:val="%1.     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1"/>
      </w:rPr>
    </w:lvl>
    <w:lvl w:ilvl="1" w:tplc="FD6494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CC15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A206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0EE2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98A1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C445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D20B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029F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512FCB"/>
    <w:multiLevelType w:val="hybridMultilevel"/>
    <w:tmpl w:val="873C864A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D6A99"/>
    <w:multiLevelType w:val="hybridMultilevel"/>
    <w:tmpl w:val="A0764970"/>
    <w:lvl w:ilvl="0" w:tplc="3B405014">
      <w:start w:val="1"/>
      <w:numFmt w:val="bullet"/>
      <w:pStyle w:val="AnnAppListBullets"/>
      <w:lvlText w:val=""/>
      <w:lvlJc w:val="left"/>
      <w:pPr>
        <w:ind w:left="720" w:hanging="360"/>
      </w:pPr>
      <w:rPr>
        <w:rFonts w:ascii="Symbol" w:hAnsi="Symbol" w:hint="default"/>
        <w:color w:val="4B82AD"/>
        <w:sz w:val="21"/>
      </w:rPr>
    </w:lvl>
    <w:lvl w:ilvl="1" w:tplc="746CE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0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0F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4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8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C9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718CF"/>
    <w:multiLevelType w:val="hybridMultilevel"/>
    <w:tmpl w:val="F8581220"/>
    <w:lvl w:ilvl="0" w:tplc="375044D0">
      <w:start w:val="1"/>
      <w:numFmt w:val="upperLetter"/>
      <w:pStyle w:val="AnnAppHeading2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color w:val="4B82AD"/>
        <w:sz w:val="26"/>
      </w:rPr>
    </w:lvl>
    <w:lvl w:ilvl="1" w:tplc="54522D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065B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96E3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DE795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1250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2EBD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2CC3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B087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B24A4D"/>
    <w:multiLevelType w:val="hybridMultilevel"/>
    <w:tmpl w:val="A992F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3E03"/>
    <w:multiLevelType w:val="hybridMultilevel"/>
    <w:tmpl w:val="6F6ACDC6"/>
    <w:lvl w:ilvl="0" w:tplc="5F6C4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044CD7"/>
    <w:multiLevelType w:val="hybridMultilevel"/>
    <w:tmpl w:val="75BE992C"/>
    <w:lvl w:ilvl="0" w:tplc="0409000F">
      <w:start w:val="3"/>
      <w:numFmt w:val="bullet"/>
      <w:pStyle w:val="ParagraphNumbering"/>
      <w:lvlText w:val="-"/>
      <w:lvlJc w:val="left"/>
      <w:pPr>
        <w:ind w:left="360" w:hanging="360"/>
      </w:pPr>
      <w:rPr>
        <w:rFonts w:ascii="Segoe UI" w:eastAsia="MS Mincho" w:hAnsi="Segoe UI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D39C6"/>
    <w:multiLevelType w:val="hybridMultilevel"/>
    <w:tmpl w:val="D59AE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5A1"/>
    <w:multiLevelType w:val="multilevel"/>
    <w:tmpl w:val="FAA42BFC"/>
    <w:lvl w:ilvl="0">
      <w:start w:val="1"/>
      <w:numFmt w:val="upperRoman"/>
      <w:pStyle w:val="ListBullet"/>
      <w:suff w:val="nothing"/>
      <w:lvlText w:val="%1.   "/>
      <w:lvlJc w:val="left"/>
      <w:rPr>
        <w:rFonts w:cs="Times New Roman" w:hint="default"/>
      </w:rPr>
    </w:lvl>
    <w:lvl w:ilvl="1">
      <w:start w:val="1"/>
      <w:numFmt w:val="upperLetter"/>
      <w:suff w:val="nothing"/>
      <w:lvlText w:val="%2.   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cs="Times New Roman" w:hint="default"/>
      </w:rPr>
    </w:lvl>
  </w:abstractNum>
  <w:abstractNum w:abstractNumId="22" w15:restartNumberingAfterBreak="0">
    <w:nsid w:val="733F1605"/>
    <w:multiLevelType w:val="hybridMultilevel"/>
    <w:tmpl w:val="0F0C7CB6"/>
    <w:lvl w:ilvl="0" w:tplc="7EC82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986617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B8B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501D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2B9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2CF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A6B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4F8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627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45325F"/>
    <w:multiLevelType w:val="hybridMultilevel"/>
    <w:tmpl w:val="5CE6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D3D7D"/>
    <w:multiLevelType w:val="hybridMultilevel"/>
    <w:tmpl w:val="4BCE80E8"/>
    <w:lvl w:ilvl="0" w:tplc="8E2E0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D4DB6"/>
    <w:multiLevelType w:val="hybridMultilevel"/>
    <w:tmpl w:val="63B6DC60"/>
    <w:lvl w:ilvl="0" w:tplc="232A68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25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21"/>
  </w:num>
  <w:num w:numId="17">
    <w:abstractNumId w:val="22"/>
  </w:num>
  <w:num w:numId="18">
    <w:abstractNumId w:val="24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D1"/>
    <w:rsid w:val="00002CB6"/>
    <w:rsid w:val="00052D1A"/>
    <w:rsid w:val="000D6E3E"/>
    <w:rsid w:val="000E777E"/>
    <w:rsid w:val="000F395F"/>
    <w:rsid w:val="001B19AF"/>
    <w:rsid w:val="001B31AF"/>
    <w:rsid w:val="001E1F18"/>
    <w:rsid w:val="002457A2"/>
    <w:rsid w:val="00251D58"/>
    <w:rsid w:val="00297368"/>
    <w:rsid w:val="002D38CB"/>
    <w:rsid w:val="002E1534"/>
    <w:rsid w:val="002F0742"/>
    <w:rsid w:val="00355F9A"/>
    <w:rsid w:val="003879F0"/>
    <w:rsid w:val="003A33A3"/>
    <w:rsid w:val="003E505A"/>
    <w:rsid w:val="00400A97"/>
    <w:rsid w:val="00423961"/>
    <w:rsid w:val="004318E8"/>
    <w:rsid w:val="00482216"/>
    <w:rsid w:val="004869EB"/>
    <w:rsid w:val="004A1CEB"/>
    <w:rsid w:val="00503DE5"/>
    <w:rsid w:val="00597B6A"/>
    <w:rsid w:val="005F3CAA"/>
    <w:rsid w:val="00681E5D"/>
    <w:rsid w:val="00685FA8"/>
    <w:rsid w:val="00691B63"/>
    <w:rsid w:val="006C6D34"/>
    <w:rsid w:val="00703666"/>
    <w:rsid w:val="007129BA"/>
    <w:rsid w:val="00743F64"/>
    <w:rsid w:val="0076274B"/>
    <w:rsid w:val="0078020E"/>
    <w:rsid w:val="007A5B6E"/>
    <w:rsid w:val="007A666B"/>
    <w:rsid w:val="00831B12"/>
    <w:rsid w:val="008372E7"/>
    <w:rsid w:val="008456AE"/>
    <w:rsid w:val="00860C31"/>
    <w:rsid w:val="008E3539"/>
    <w:rsid w:val="008F09FA"/>
    <w:rsid w:val="00905C9A"/>
    <w:rsid w:val="00942B16"/>
    <w:rsid w:val="0094528E"/>
    <w:rsid w:val="00955463"/>
    <w:rsid w:val="00986EAF"/>
    <w:rsid w:val="009B142E"/>
    <w:rsid w:val="009C44A2"/>
    <w:rsid w:val="009E18CF"/>
    <w:rsid w:val="009E6CD7"/>
    <w:rsid w:val="009F60E0"/>
    <w:rsid w:val="00A44AC0"/>
    <w:rsid w:val="00A62CE5"/>
    <w:rsid w:val="00A636B4"/>
    <w:rsid w:val="00A709C9"/>
    <w:rsid w:val="00AC5282"/>
    <w:rsid w:val="00AD08EA"/>
    <w:rsid w:val="00AD4915"/>
    <w:rsid w:val="00AF7D73"/>
    <w:rsid w:val="00B556ED"/>
    <w:rsid w:val="00BD25FB"/>
    <w:rsid w:val="00C107F6"/>
    <w:rsid w:val="00C1095D"/>
    <w:rsid w:val="00C46CAE"/>
    <w:rsid w:val="00C72239"/>
    <w:rsid w:val="00CC721D"/>
    <w:rsid w:val="00CD757C"/>
    <w:rsid w:val="00D40DD4"/>
    <w:rsid w:val="00D90CD1"/>
    <w:rsid w:val="00DA3DAD"/>
    <w:rsid w:val="00DA4F0C"/>
    <w:rsid w:val="00DC2E7F"/>
    <w:rsid w:val="00E11077"/>
    <w:rsid w:val="00E1125B"/>
    <w:rsid w:val="00E61AF7"/>
    <w:rsid w:val="00E94974"/>
    <w:rsid w:val="00EA23B5"/>
    <w:rsid w:val="00EB7671"/>
    <w:rsid w:val="00F11D1A"/>
    <w:rsid w:val="00F7011B"/>
    <w:rsid w:val="00F9667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B4D5-A80D-443A-9487-07F5BB12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 w:after="120" w:line="520" w:lineRule="exact"/>
      <w:outlineLvl w:val="0"/>
    </w:pPr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 w:after="120" w:line="400" w:lineRule="exact"/>
      <w:outlineLvl w:val="1"/>
    </w:pPr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paragraph" w:styleId="Heading3">
    <w:name w:val="heading 3"/>
    <w:aliases w:val="Subsection"/>
    <w:basedOn w:val="Normal"/>
    <w:next w:val="Normal"/>
    <w:link w:val="Heading3Char"/>
    <w:uiPriority w:val="99"/>
    <w:qFormat/>
    <w:pPr>
      <w:spacing w:after="240" w:line="300" w:lineRule="exact"/>
      <w:outlineLvl w:val="2"/>
    </w:pPr>
    <w:rPr>
      <w:rFonts w:ascii="Segoe UI" w:eastAsia="MS Mincho" w:hAnsi="Segoe UI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240" w:line="300" w:lineRule="exact"/>
      <w:outlineLvl w:val="3"/>
    </w:pPr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240" w:line="300" w:lineRule="exact"/>
      <w:outlineLvl w:val="4"/>
    </w:pPr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300" w:lineRule="exact"/>
      <w:outlineLvl w:val="5"/>
    </w:pPr>
    <w:rPr>
      <w:rFonts w:ascii="Segoe UI" w:eastAsia="MS Mincho" w:hAnsi="Segoe UI" w:cs="Times New Roman"/>
      <w:bCs/>
      <w:sz w:val="21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 w:line="300" w:lineRule="exact"/>
      <w:outlineLvl w:val="6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 w:line="300" w:lineRule="exact"/>
      <w:outlineLvl w:val="7"/>
    </w:pPr>
    <w:rPr>
      <w:rFonts w:ascii="Segoe UI" w:eastAsia="MS Mincho" w:hAnsi="Segoe UI" w:cs="Times New Roman"/>
      <w:iCs/>
      <w:sz w:val="21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300" w:lineRule="exact"/>
      <w:outlineLvl w:val="8"/>
    </w:pPr>
    <w:rPr>
      <w:rFonts w:ascii="Segoe UI" w:eastAsia="MS Mincho" w:hAnsi="Segoe UI" w:cs="Arial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 Char Char Char Char,fn,Footnote Text Char1,Footnote Text Char Char,Footnote,Fußnote,single space,FOOTNOTES,Testo_note,Testo_note1,Testo_note2,Footnote Text Char3 Char,FSR footnote,1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 Char Char,fn Char,Footnote Text Char1 Char,Footnote Text Char Char Char,Footnote Char,Fußnote Char,single space Char,FOOTNOTES Char,Testo_note Char,Testo_note1 Char,Testo_note2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aliases w:val="fr,Footnote Reference Number,Footnote Reference_LVL6,Footnote Reference_LVL61,Footnote Reference_LVL62,Footnote Reference_LVL63,Footnote Reference_LVL64,Rabbani Footnote,Ref,de nota al pie,ftref,SUPERS,EN Footnote Reference,number"/>
    <w:basedOn w:val="DefaultParagraphFont"/>
    <w:uiPriority w:val="99"/>
    <w:unhideWhenUsed/>
    <w:rPr>
      <w:vertAlign w:val="superscript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Segoe UI" w:eastAsia="MS Mincho" w:hAnsi="Segoe UI" w:cs="Frutiger LT Std 55 Roman"/>
      <w:b/>
      <w:bCs/>
      <w:caps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egoe UI" w:eastAsia="MS Mincho" w:hAnsi="Segoe UI" w:cs="Arial"/>
      <w:b/>
      <w:bCs/>
      <w:iCs/>
      <w:color w:val="4B82AD"/>
      <w:sz w:val="26"/>
      <w:szCs w:val="28"/>
      <w:lang w:val="en-US"/>
    </w:rPr>
  </w:style>
  <w:style w:type="character" w:customStyle="1" w:styleId="Heading3Char">
    <w:name w:val="Heading 3 Char"/>
    <w:aliases w:val="Subsection Char"/>
    <w:basedOn w:val="DefaultParagraphFont"/>
    <w:link w:val="Heading3"/>
    <w:uiPriority w:val="99"/>
    <w:rPr>
      <w:rFonts w:ascii="Segoe UI" w:eastAsia="MS Mincho" w:hAnsi="Segoe UI" w:cs="Arial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Segoe UI" w:eastAsia="MS Mincho" w:hAnsi="Segoe UI" w:cs="Times New Roman"/>
      <w:b/>
      <w:bCs/>
      <w:i/>
      <w:sz w:val="21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Segoe UI" w:eastAsia="MS Mincho" w:hAnsi="Segoe UI" w:cs="Times New Roman"/>
      <w:bCs/>
      <w:i/>
      <w:iCs/>
      <w:sz w:val="21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Segoe UI" w:eastAsia="MS Mincho" w:hAnsi="Segoe UI" w:cs="Times New Roman"/>
      <w:bCs/>
      <w:sz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Segoe UI" w:eastAsia="MS Mincho" w:hAnsi="Segoe UI" w:cs="Times New Roman"/>
      <w:iCs/>
      <w:sz w:val="21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Segoe UI" w:eastAsia="MS Mincho" w:hAnsi="Segoe UI" w:cs="Arial"/>
      <w:sz w:val="21"/>
      <w:lang w:val="en-US"/>
    </w:rPr>
  </w:style>
  <w:style w:type="paragraph" w:customStyle="1" w:styleId="ParagraphNumbering">
    <w:name w:val="Paragraph Numbering"/>
    <w:basedOn w:val="Normal"/>
    <w:link w:val="ParagraphNumberingChar"/>
    <w:uiPriority w:val="99"/>
    <w:pPr>
      <w:numPr>
        <w:numId w:val="8"/>
      </w:numPr>
      <w:spacing w:after="24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ParagraphNumberingChar">
    <w:name w:val="Paragraph Numbering Char"/>
    <w:basedOn w:val="DefaultParagraphFont"/>
    <w:link w:val="ParagraphNumbering"/>
    <w:uiPriority w:val="99"/>
    <w:locked/>
    <w:rPr>
      <w:rFonts w:ascii="Segoe UI" w:eastAsia="MS Mincho" w:hAnsi="Segoe UI" w:cs="Times New Roman"/>
      <w:sz w:val="21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rFonts w:ascii="Segoe UI" w:eastAsia="MS Mincho" w:hAnsi="Segoe UI" w:cs="Times New Roman"/>
      <w:b/>
      <w:bCs/>
      <w:color w:val="4F81BD"/>
      <w:sz w:val="18"/>
      <w:szCs w:val="18"/>
      <w:lang w:val="en-US"/>
    </w:rPr>
  </w:style>
  <w:style w:type="paragraph" w:customStyle="1" w:styleId="TableText">
    <w:name w:val="TableText"/>
    <w:basedOn w:val="Normal"/>
    <w:uiPriority w:val="99"/>
    <w:pPr>
      <w:tabs>
        <w:tab w:val="num" w:pos="720"/>
      </w:tabs>
      <w:spacing w:before="60" w:after="60" w:line="240" w:lineRule="auto"/>
    </w:pPr>
    <w:rPr>
      <w:rFonts w:ascii="Times New Roman" w:eastAsia="MS Mincho" w:hAnsi="Times New Roman" w:cs="Times New Roman"/>
      <w:sz w:val="20"/>
      <w:lang w:val="en-US"/>
    </w:rPr>
  </w:style>
  <w:style w:type="paragraph" w:customStyle="1" w:styleId="TableColumnHeading">
    <w:name w:val="TableColumnHeading"/>
    <w:basedOn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sz w:val="20"/>
      <w:lang w:val="en-US"/>
    </w:rPr>
  </w:style>
  <w:style w:type="paragraph" w:customStyle="1" w:styleId="TableTitle">
    <w:name w:val="TableTitle"/>
    <w:basedOn w:val="Normal"/>
    <w:next w:val="Normal"/>
    <w:uiPriority w:val="99"/>
    <w:pPr>
      <w:keepNext/>
      <w:tabs>
        <w:tab w:val="num" w:pos="720"/>
      </w:tabs>
      <w:spacing w:before="120" w:after="120" w:line="240" w:lineRule="auto"/>
      <w:jc w:val="center"/>
    </w:pPr>
    <w:rPr>
      <w:rFonts w:ascii="Times New Roman" w:eastAsia="MS Mincho" w:hAnsi="Times New Roman" w:cs="Times New Roman"/>
      <w:b/>
      <w:lang w:val="en-US"/>
    </w:rPr>
  </w:style>
  <w:style w:type="paragraph" w:styleId="ListBullet">
    <w:name w:val="List Bullet"/>
    <w:basedOn w:val="Normal"/>
    <w:uiPriority w:val="99"/>
    <w:pPr>
      <w:numPr>
        <w:numId w:val="9"/>
      </w:numPr>
      <w:spacing w:after="240" w:line="300" w:lineRule="exact"/>
      <w:ind w:left="36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Paragraph">
    <w:name w:val="Paragraph"/>
    <w:basedOn w:val="Normal"/>
    <w:uiPriority w:val="99"/>
    <w:pPr>
      <w:spacing w:after="120" w:line="240" w:lineRule="auto"/>
      <w:jc w:val="both"/>
    </w:pPr>
    <w:rPr>
      <w:rFonts w:ascii="Arial" w:eastAsia="MS Mincho" w:hAnsi="Arial" w:cs="Times New Roman"/>
      <w:szCs w:val="20"/>
      <w:lang w:val="en-GB"/>
    </w:rPr>
  </w:style>
  <w:style w:type="paragraph" w:customStyle="1" w:styleId="Appendix">
    <w:name w:val="Appendix"/>
    <w:basedOn w:val="Normal"/>
    <w:uiPriority w:val="99"/>
    <w:pPr>
      <w:spacing w:after="0" w:line="300" w:lineRule="exact"/>
      <w:jc w:val="center"/>
    </w:pPr>
    <w:rPr>
      <w:rFonts w:ascii="Segoe UI" w:eastAsia="MS Mincho" w:hAnsi="Segoe UI" w:cs="Times New Roman"/>
      <w:b/>
      <w:sz w:val="21"/>
      <w:szCs w:val="24"/>
      <w:lang w:val="en-US"/>
    </w:rPr>
  </w:style>
  <w:style w:type="paragraph" w:styleId="TOC1">
    <w:name w:val="toc 1"/>
    <w:basedOn w:val="Normal"/>
    <w:next w:val="Normal"/>
    <w:uiPriority w:val="99"/>
    <w:pPr>
      <w:spacing w:after="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2">
    <w:name w:val="toc 2"/>
    <w:basedOn w:val="Normal"/>
    <w:next w:val="Normal"/>
    <w:uiPriority w:val="99"/>
    <w:pPr>
      <w:spacing w:after="0" w:line="300" w:lineRule="exact"/>
      <w:ind w:left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3">
    <w:name w:val="toc 3"/>
    <w:basedOn w:val="Normal"/>
    <w:next w:val="Normal"/>
    <w:uiPriority w:val="99"/>
    <w:pPr>
      <w:spacing w:after="0" w:line="300" w:lineRule="exact"/>
      <w:ind w:left="4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4">
    <w:name w:val="toc 4"/>
    <w:basedOn w:val="Normal"/>
    <w:next w:val="Normal"/>
    <w:uiPriority w:val="99"/>
    <w:pPr>
      <w:spacing w:after="0" w:line="300" w:lineRule="exact"/>
      <w:ind w:left="7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5">
    <w:name w:val="toc 5"/>
    <w:basedOn w:val="Normal"/>
    <w:next w:val="Normal"/>
    <w:uiPriority w:val="99"/>
    <w:pPr>
      <w:spacing w:after="0" w:line="300" w:lineRule="exact"/>
      <w:ind w:left="9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6">
    <w:name w:val="toc 6"/>
    <w:basedOn w:val="Normal"/>
    <w:next w:val="Normal"/>
    <w:uiPriority w:val="99"/>
    <w:pPr>
      <w:spacing w:after="0" w:line="300" w:lineRule="exact"/>
      <w:ind w:left="120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7">
    <w:name w:val="toc 7"/>
    <w:basedOn w:val="Normal"/>
    <w:next w:val="Normal"/>
    <w:uiPriority w:val="99"/>
    <w:pPr>
      <w:spacing w:after="0" w:line="300" w:lineRule="exact"/>
      <w:ind w:left="14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8">
    <w:name w:val="toc 8"/>
    <w:basedOn w:val="Normal"/>
    <w:next w:val="Normal"/>
    <w:uiPriority w:val="99"/>
    <w:pPr>
      <w:spacing w:after="0" w:line="300" w:lineRule="exact"/>
      <w:ind w:left="168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OC9">
    <w:name w:val="toc 9"/>
    <w:basedOn w:val="Normal"/>
    <w:next w:val="Normal"/>
    <w:uiPriority w:val="99"/>
    <w:pPr>
      <w:spacing w:after="0" w:line="300" w:lineRule="exact"/>
      <w:ind w:left="192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1">
    <w:name w:val="index 1"/>
    <w:basedOn w:val="Normal"/>
    <w:next w:val="Normal"/>
    <w:uiPriority w:val="99"/>
    <w:pPr>
      <w:spacing w:after="0" w:line="300" w:lineRule="exact"/>
      <w:ind w:left="2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2">
    <w:name w:val="index 2"/>
    <w:basedOn w:val="Normal"/>
    <w:next w:val="Normal"/>
    <w:uiPriority w:val="99"/>
    <w:pPr>
      <w:spacing w:after="0" w:line="300" w:lineRule="exact"/>
      <w:ind w:left="4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3">
    <w:name w:val="index 3"/>
    <w:basedOn w:val="Normal"/>
    <w:next w:val="Normal"/>
    <w:uiPriority w:val="99"/>
    <w:pPr>
      <w:spacing w:after="0" w:line="300" w:lineRule="exact"/>
      <w:ind w:left="7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4">
    <w:name w:val="index 4"/>
    <w:basedOn w:val="Normal"/>
    <w:next w:val="Normal"/>
    <w:uiPriority w:val="99"/>
    <w:pPr>
      <w:spacing w:after="0" w:line="300" w:lineRule="exact"/>
      <w:ind w:left="9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5">
    <w:name w:val="index 5"/>
    <w:basedOn w:val="Normal"/>
    <w:next w:val="Normal"/>
    <w:uiPriority w:val="99"/>
    <w:pPr>
      <w:spacing w:after="0" w:line="300" w:lineRule="exact"/>
      <w:ind w:left="120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6">
    <w:name w:val="index 6"/>
    <w:basedOn w:val="Normal"/>
    <w:next w:val="Normal"/>
    <w:uiPriority w:val="99"/>
    <w:pPr>
      <w:spacing w:after="0" w:line="300" w:lineRule="exact"/>
      <w:ind w:left="144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7">
    <w:name w:val="index 7"/>
    <w:basedOn w:val="Normal"/>
    <w:next w:val="Normal"/>
    <w:uiPriority w:val="99"/>
    <w:pPr>
      <w:spacing w:after="0" w:line="300" w:lineRule="exact"/>
      <w:ind w:left="168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8">
    <w:name w:val="index 8"/>
    <w:basedOn w:val="Normal"/>
    <w:next w:val="Normal"/>
    <w:uiPriority w:val="99"/>
    <w:pPr>
      <w:spacing w:after="0" w:line="300" w:lineRule="exact"/>
      <w:ind w:left="192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Index9">
    <w:name w:val="index 9"/>
    <w:basedOn w:val="Normal"/>
    <w:next w:val="Normal"/>
    <w:uiPriority w:val="99"/>
    <w:pPr>
      <w:spacing w:after="0" w:line="300" w:lineRule="exact"/>
      <w:ind w:left="2160" w:hanging="24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2">
    <w:name w:val="List Bullet 2"/>
    <w:basedOn w:val="Normal"/>
    <w:uiPriority w:val="99"/>
    <w:pPr>
      <w:tabs>
        <w:tab w:val="num" w:pos="720"/>
      </w:tabs>
      <w:spacing w:after="0" w:line="300" w:lineRule="exact"/>
      <w:ind w:left="72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3">
    <w:name w:val="List Bullet 3"/>
    <w:basedOn w:val="Normal"/>
    <w:uiPriority w:val="99"/>
    <w:pPr>
      <w:tabs>
        <w:tab w:val="num" w:pos="1080"/>
      </w:tabs>
      <w:spacing w:after="0" w:line="300" w:lineRule="exact"/>
      <w:ind w:left="108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4">
    <w:name w:val="List Bullet 4"/>
    <w:basedOn w:val="Normal"/>
    <w:uiPriority w:val="99"/>
    <w:pPr>
      <w:tabs>
        <w:tab w:val="num" w:pos="1440"/>
      </w:tabs>
      <w:spacing w:after="0" w:line="300" w:lineRule="exact"/>
      <w:ind w:left="144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ListBullet5">
    <w:name w:val="List Bullet 5"/>
    <w:basedOn w:val="Normal"/>
    <w:uiPriority w:val="99"/>
    <w:pPr>
      <w:tabs>
        <w:tab w:val="num" w:pos="1800"/>
      </w:tabs>
      <w:spacing w:after="0" w:line="300" w:lineRule="exact"/>
      <w:ind w:left="1800" w:hanging="360"/>
    </w:pPr>
    <w:rPr>
      <w:rFonts w:ascii="Segoe UI" w:eastAsia="MS Mincho" w:hAnsi="Segoe UI" w:cs="Times New Roman"/>
      <w:sz w:val="21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pPr>
      <w:spacing w:after="0" w:line="22" w:lineRule="auto"/>
      <w:ind w:left="720" w:right="660"/>
    </w:pPr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Segoe UI" w:eastAsia="MS Mincho" w:hAnsi="Segoe UI" w:cs="Segoe UI"/>
      <w:b/>
      <w:bCs/>
      <w:caps/>
      <w:sz w:val="60"/>
      <w:szCs w:val="52"/>
      <w:lang w:val="en-US"/>
    </w:rPr>
  </w:style>
  <w:style w:type="paragraph" w:customStyle="1" w:styleId="Indent">
    <w:name w:val="Indent"/>
    <w:basedOn w:val="Normal"/>
    <w:uiPriority w:val="99"/>
    <w:pPr>
      <w:spacing w:after="0" w:line="300" w:lineRule="exact"/>
      <w:ind w:left="720" w:hanging="720"/>
    </w:pPr>
    <w:rPr>
      <w:rFonts w:ascii="Segoe UI" w:eastAsia="MS Mincho" w:hAnsi="Segoe UI" w:cs="Times New Roman"/>
      <w:sz w:val="21"/>
      <w:szCs w:val="24"/>
      <w:lang w:val="en-US"/>
    </w:rPr>
  </w:style>
  <w:style w:type="paragraph" w:customStyle="1" w:styleId="AnnexAppendixTitle">
    <w:name w:val="Annex/Appendix Title"/>
    <w:next w:val="Normal"/>
    <w:uiPriority w:val="99"/>
    <w:pPr>
      <w:spacing w:after="240" w:line="400" w:lineRule="exact"/>
      <w:jc w:val="center"/>
    </w:pPr>
    <w:rPr>
      <w:rFonts w:ascii="Segoe UI" w:eastAsia="MS Mincho" w:hAnsi="Segoe UI" w:cs="Times New Roman"/>
      <w:b/>
      <w:color w:val="4B82AD"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egoe UI" w:eastAsia="MS Mincho" w:hAnsi="Segoe UI" w:cs="Times New Roman"/>
      <w:sz w:val="21"/>
      <w:szCs w:val="24"/>
      <w:lang w:val="en-US"/>
    </w:rPr>
  </w:style>
  <w:style w:type="paragraph" w:styleId="ListNumber">
    <w:name w:val="List Number"/>
    <w:basedOn w:val="Normal"/>
    <w:uiPriority w:val="99"/>
    <w:pPr>
      <w:tabs>
        <w:tab w:val="num" w:pos="360"/>
      </w:tabs>
      <w:spacing w:after="0" w:line="300" w:lineRule="exact"/>
      <w:ind w:left="360" w:hanging="360"/>
      <w:contextualSpacing/>
    </w:pPr>
    <w:rPr>
      <w:rFonts w:ascii="Segoe UI" w:eastAsia="MS Mincho" w:hAnsi="Segoe UI" w:cs="Times New Roman"/>
      <w:sz w:val="21"/>
      <w:szCs w:val="24"/>
      <w:lang w:val="en-US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ectionSummary">
    <w:name w:val="Section Summary"/>
    <w:basedOn w:val="Normal"/>
    <w:uiPriority w:val="99"/>
    <w:pPr>
      <w:spacing w:after="240" w:line="300" w:lineRule="exact"/>
      <w:ind w:left="720" w:right="475"/>
    </w:pPr>
    <w:rPr>
      <w:rFonts w:ascii="Segoe UI" w:eastAsia="MS Mincho" w:hAnsi="Segoe UI" w:cs="Times New Roman"/>
      <w:i/>
      <w:sz w:val="21"/>
      <w:szCs w:val="20"/>
      <w:lang w:val="en-US"/>
    </w:rPr>
  </w:style>
  <w:style w:type="paragraph" w:customStyle="1" w:styleId="BoxText">
    <w:name w:val="Box Text"/>
    <w:basedOn w:val="Normal"/>
    <w:uiPriority w:val="99"/>
    <w:pPr>
      <w:spacing w:after="240" w:line="240" w:lineRule="auto"/>
    </w:pPr>
    <w:rPr>
      <w:rFonts w:ascii="Segoe UI" w:eastAsia="MS Mincho" w:hAnsi="Segoe UI" w:cs="Segoe UI"/>
      <w:sz w:val="19"/>
      <w:szCs w:val="24"/>
      <w:lang w:val="en-US"/>
    </w:rPr>
  </w:style>
  <w:style w:type="paragraph" w:customStyle="1" w:styleId="BoxBullet">
    <w:name w:val="Box Bullet"/>
    <w:basedOn w:val="Normal"/>
    <w:uiPriority w:val="99"/>
    <w:pPr>
      <w:numPr>
        <w:numId w:val="25"/>
      </w:numPr>
      <w:spacing w:after="240" w:line="240" w:lineRule="auto"/>
    </w:pPr>
    <w:rPr>
      <w:rFonts w:ascii="Segoe UI" w:eastAsia="MS Mincho" w:hAnsi="Segoe UI" w:cs="Segoe UI"/>
      <w:sz w:val="19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pPr>
      <w:spacing w:after="120" w:line="300" w:lineRule="exact"/>
    </w:pPr>
    <w:rPr>
      <w:rFonts w:ascii="Segoe UI" w:eastAsia="MS Mincho" w:hAnsi="Segoe UI" w:cs="Times New Roman"/>
      <w:sz w:val="21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Segoe UI" w:eastAsia="MS Mincho" w:hAnsi="Segoe UI" w:cs="Times New Roman"/>
      <w:sz w:val="21"/>
      <w:szCs w:val="20"/>
      <w:lang w:val="en-US"/>
    </w:rPr>
  </w:style>
  <w:style w:type="paragraph" w:customStyle="1" w:styleId="SubTitle">
    <w:name w:val="Sub Title"/>
    <w:uiPriority w:val="99"/>
    <w:pPr>
      <w:spacing w:after="0" w:line="240" w:lineRule="auto"/>
      <w:ind w:left="720"/>
    </w:pPr>
    <w:rPr>
      <w:rFonts w:ascii="Segoe UI" w:eastAsia="MS Mincho" w:hAnsi="Segoe UI" w:cs="Segoe UI"/>
      <w:b/>
      <w:bCs/>
      <w:color w:val="808080"/>
      <w:sz w:val="29"/>
      <w:szCs w:val="29"/>
      <w:lang w:val="en-US" w:eastAsia="ja-JP" w:bidi="ml-IN"/>
    </w:rPr>
  </w:style>
  <w:style w:type="paragraph" w:customStyle="1" w:styleId="KeyIssues">
    <w:name w:val="Key Issues"/>
    <w:uiPriority w:val="99"/>
    <w:pPr>
      <w:tabs>
        <w:tab w:val="left" w:pos="-1080"/>
        <w:tab w:val="left" w:pos="-360"/>
        <w:tab w:val="left" w:pos="270"/>
        <w:tab w:val="left" w:pos="450"/>
        <w:tab w:val="left" w:pos="9000"/>
      </w:tabs>
      <w:spacing w:after="0" w:line="240" w:lineRule="auto"/>
      <w:ind w:left="720"/>
    </w:pPr>
    <w:rPr>
      <w:rFonts w:ascii="Segoe UI" w:eastAsia="MS Mincho" w:hAnsi="Segoe UI" w:cs="Segoe UI"/>
      <w:b/>
      <w:color w:val="000000"/>
      <w:sz w:val="36"/>
      <w:szCs w:val="36"/>
      <w:lang w:val="en-US"/>
    </w:rPr>
  </w:style>
  <w:style w:type="paragraph" w:customStyle="1" w:styleId="AnnAppParagraphNumbering">
    <w:name w:val="Ann/App Paragraph Numbering"/>
    <w:uiPriority w:val="99"/>
    <w:pPr>
      <w:numPr>
        <w:numId w:val="26"/>
      </w:numPr>
      <w:spacing w:after="240" w:line="264" w:lineRule="auto"/>
    </w:pPr>
    <w:rPr>
      <w:rFonts w:ascii="Segoe UI" w:eastAsia="MS Mincho" w:hAnsi="Segoe UI" w:cs="Segoe UI"/>
      <w:sz w:val="21"/>
      <w:szCs w:val="24"/>
      <w:lang w:val="en-US"/>
    </w:rPr>
  </w:style>
  <w:style w:type="paragraph" w:customStyle="1" w:styleId="AnnAppHeading1">
    <w:name w:val="Ann/App Heading 1"/>
    <w:uiPriority w:val="99"/>
    <w:pPr>
      <w:spacing w:after="240" w:line="400" w:lineRule="exact"/>
    </w:pPr>
    <w:rPr>
      <w:rFonts w:ascii="Segoe UI" w:eastAsia="MS Mincho" w:hAnsi="Segoe UI" w:cs="Times New Roman"/>
      <w:b/>
      <w:sz w:val="28"/>
      <w:szCs w:val="24"/>
      <w:lang w:val="en-US"/>
    </w:rPr>
  </w:style>
  <w:style w:type="paragraph" w:customStyle="1" w:styleId="AnnAppHeading2">
    <w:name w:val="Ann/App Heading 2"/>
    <w:next w:val="Normal"/>
    <w:uiPriority w:val="99"/>
    <w:pPr>
      <w:numPr>
        <w:numId w:val="27"/>
      </w:numPr>
      <w:spacing w:after="240" w:line="400" w:lineRule="exact"/>
    </w:pPr>
    <w:rPr>
      <w:rFonts w:ascii="Segoe UI" w:eastAsia="MS Mincho" w:hAnsi="Segoe UI" w:cs="Times New Roman"/>
      <w:b/>
      <w:color w:val="4B82AD"/>
      <w:sz w:val="26"/>
      <w:szCs w:val="24"/>
      <w:lang w:val="en-US"/>
    </w:rPr>
  </w:style>
  <w:style w:type="paragraph" w:customStyle="1" w:styleId="AnnAppListBullets">
    <w:name w:val="Ann/App List Bullets"/>
    <w:uiPriority w:val="99"/>
    <w:pPr>
      <w:numPr>
        <w:numId w:val="28"/>
      </w:numPr>
      <w:spacing w:after="0" w:line="264" w:lineRule="auto"/>
    </w:pPr>
    <w:rPr>
      <w:rFonts w:ascii="Segoe UI" w:eastAsia="MS Mincho" w:hAnsi="Segoe UI" w:cs="Times New Roman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Outline">
    <w:name w:val="Outline"/>
    <w:basedOn w:val="Normal"/>
    <w:uiPriority w:val="99"/>
    <w:pPr>
      <w:spacing w:before="240" w:after="0" w:line="240" w:lineRule="auto"/>
    </w:pPr>
    <w:rPr>
      <w:rFonts w:ascii="Times New Roman" w:eastAsia="MS Mincho" w:hAnsi="Times New Roman" w:cs="Times New Roman"/>
      <w:kern w:val="28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36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right="342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pacing w:after="0" w:line="244" w:lineRule="exact"/>
      <w:ind w:left="600" w:hanging="60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eastAsia="MS Mincho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MS Mincho" w:hAnsi="Consolas" w:cs="Times New Roman"/>
      <w:sz w:val="21"/>
      <w:szCs w:val="21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UnNumberedHeading1">
    <w:name w:val="UnNumbered Heading 1"/>
    <w:basedOn w:val="Normal"/>
    <w:next w:val="Normal"/>
    <w:uiPriority w:val="99"/>
    <w:pPr>
      <w:spacing w:after="0" w:line="240" w:lineRule="auto"/>
      <w:jc w:val="center"/>
    </w:pPr>
    <w:rPr>
      <w:rFonts w:ascii="Times New Roman" w:eastAsia="MS Mincho" w:hAnsi="Times New Roman" w:cs="Times New Roman"/>
      <w:b/>
      <w:smallCaps/>
      <w:sz w:val="24"/>
      <w:szCs w:val="24"/>
      <w:lang w:val="en-US"/>
    </w:rPr>
  </w:style>
  <w:style w:type="paragraph" w:customStyle="1" w:styleId="UnNumberedHeading">
    <w:name w:val="UnNumbered Heading"/>
    <w:basedOn w:val="Heading1"/>
    <w:uiPriority w:val="99"/>
    <w:pPr>
      <w:keepNext/>
      <w:spacing w:before="0" w:after="240" w:line="264" w:lineRule="auto"/>
      <w:jc w:val="center"/>
    </w:pPr>
    <w:rPr>
      <w:rFonts w:ascii="Times New Roman" w:hAnsi="Times New Roman" w:cs="Arial"/>
      <w:caps w:val="0"/>
      <w:smallCaps/>
      <w:sz w:val="24"/>
      <w:szCs w:val="32"/>
    </w:rPr>
  </w:style>
  <w:style w:type="paragraph" w:customStyle="1" w:styleId="paragraphnumbering0">
    <w:name w:val="paragraphnumbering"/>
    <w:basedOn w:val="Normal"/>
    <w:uiPriority w:val="99"/>
    <w:pPr>
      <w:tabs>
        <w:tab w:val="num" w:pos="720"/>
      </w:tabs>
      <w:spacing w:after="24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arCar2">
    <w:name w:val="Car Car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text1">
    <w:name w:val="text1"/>
    <w:basedOn w:val="Normal"/>
    <w:uiPriority w:val="99"/>
    <w:pPr>
      <w:spacing w:before="100" w:beforeAutospacing="1" w:after="100" w:afterAutospacing="1" w:line="240" w:lineRule="auto"/>
      <w:jc w:val="both"/>
    </w:pPr>
    <w:rPr>
      <w:rFonts w:ascii="Verdana" w:eastAsia="MS Mincho" w:hAnsi="Verdana" w:cs="Times New Roman"/>
      <w:color w:val="231F20"/>
      <w:sz w:val="20"/>
      <w:szCs w:val="20"/>
      <w:lang w:val="en-US"/>
    </w:rPr>
  </w:style>
  <w:style w:type="paragraph" w:customStyle="1" w:styleId="CarCar22">
    <w:name w:val="Car Car22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CarCar21">
    <w:name w:val="Car Car21"/>
    <w:basedOn w:val="Normal"/>
    <w:uiPriority w:val="99"/>
    <w:pPr>
      <w:spacing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customStyle="1" w:styleId="textoliso">
    <w:name w:val="textoliso"/>
    <w:basedOn w:val="Default"/>
    <w:next w:val="Default"/>
    <w:uiPriority w:val="99"/>
    <w:rPr>
      <w:rFonts w:ascii="BdE Neue Helvetica" w:hAnsi="BdE Neue Helvetica"/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00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empty">
    <w:name w:val="empty"/>
    <w:basedOn w:val="Normal"/>
    <w:uiPriority w:val="99"/>
    <w:pPr>
      <w:tabs>
        <w:tab w:val="num" w:pos="720"/>
      </w:tabs>
      <w:spacing w:after="240" w:line="240" w:lineRule="auto"/>
      <w:jc w:val="both"/>
    </w:pPr>
    <w:rPr>
      <w:rFonts w:ascii="Times New Roman" w:eastAsia="MS Mincho" w:hAnsi="Times New Roman" w:cs="Times New Roman"/>
      <w:color w:val="FFFFFF"/>
      <w:lang w:val="en-US"/>
    </w:rPr>
  </w:style>
  <w:style w:type="paragraph" w:customStyle="1" w:styleId="TableNumber">
    <w:name w:val="TableNumber"/>
    <w:basedOn w:val="Paragraph"/>
    <w:next w:val="TableTitle"/>
    <w:uiPriority w:val="99"/>
    <w:pPr>
      <w:keepNext/>
      <w:tabs>
        <w:tab w:val="num" w:pos="720"/>
      </w:tabs>
      <w:spacing w:before="120" w:after="0"/>
      <w:jc w:val="center"/>
    </w:pPr>
    <w:rPr>
      <w:rFonts w:ascii="Times New Roman" w:hAnsi="Times New Roman"/>
      <w:szCs w:val="22"/>
      <w:lang w:val="en-US"/>
    </w:rPr>
  </w:style>
  <w:style w:type="paragraph" w:customStyle="1" w:styleId="Style1">
    <w:name w:val="Style1"/>
    <w:basedOn w:val="FootnoteText"/>
    <w:uiPriority w:val="99"/>
    <w:pPr>
      <w:spacing w:after="200" w:line="264" w:lineRule="auto"/>
    </w:pPr>
    <w:rPr>
      <w:rFonts w:ascii="Times New Roman" w:eastAsia="MS Mincho" w:hAnsi="Times New Roman" w:cs="Times New Roman"/>
      <w:lang w:val="en-US"/>
    </w:rPr>
  </w:style>
  <w:style w:type="paragraph" w:styleId="Date">
    <w:name w:val="Date"/>
    <w:basedOn w:val="Normal"/>
    <w:next w:val="Normal"/>
    <w:link w:val="DateChar"/>
    <w:uiPriority w:val="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character" w:customStyle="1" w:styleId="hps">
    <w:name w:val="hp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FDF6-740C-4EF3-BF4B-710CC13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14336</Words>
  <Characters>81720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Nevena Obucina</cp:lastModifiedBy>
  <cp:revision>2</cp:revision>
  <cp:lastPrinted>2022-02-14T09:16:00Z</cp:lastPrinted>
  <dcterms:created xsi:type="dcterms:W3CDTF">2023-12-15T09:02:00Z</dcterms:created>
  <dcterms:modified xsi:type="dcterms:W3CDTF">2023-12-15T09:02:00Z</dcterms:modified>
</cp:coreProperties>
</file>