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03B66" w14:textId="691FB050" w:rsidR="00EE4BFE" w:rsidRDefault="006C7731">
      <w:pPr>
        <w:spacing w:before="120" w:after="120" w:line="240" w:lineRule="auto"/>
        <w:jc w:val="both"/>
      </w:pPr>
      <w:r>
        <w:t xml:space="preserve">Na osnovu </w:t>
      </w:r>
      <w:r w:rsidR="00717BED">
        <w:t xml:space="preserve">relevantnih </w:t>
      </w:r>
      <w:r>
        <w:t>članova Memoranduma o principima koordinacije bankarske supervizije i saradnji i razmjeni podataka i informacija potpisanog između Centralne banke Bosne i Hercegovine, br. 01-897/08 od 16.06.2008. godine, Agencije za bankarstvo Federacije Bosne i Hercegovine, br. 01-2-1170/08 od 16.06.2008.</w:t>
      </w:r>
      <w:r w:rsidR="00AC44A6">
        <w:t xml:space="preserve"> </w:t>
      </w:r>
      <w:r>
        <w:t xml:space="preserve">godine, i Agencije za bankarstvo Republike Srpske, br. 01-691/08 od 13.06.2008. godine, a u vezi sa zaključkom ad 4. s drugog sastanka </w:t>
      </w:r>
      <w:r w:rsidR="00132B58">
        <w:t xml:space="preserve">Koordinacije </w:t>
      </w:r>
      <w:r>
        <w:t>bankarske supervizije održanog 2</w:t>
      </w:r>
      <w:r w:rsidR="00717BED">
        <w:t>9</w:t>
      </w:r>
      <w:r>
        <w:t>. juna 2023. godine, Koordinacija bankarske supervizije usvaja:</w:t>
      </w:r>
    </w:p>
    <w:p w14:paraId="2473B869" w14:textId="77777777" w:rsidR="00EE4BFE" w:rsidRDefault="00EE4BFE">
      <w:pPr>
        <w:spacing w:before="120" w:after="120" w:line="240" w:lineRule="auto"/>
        <w:jc w:val="both"/>
        <w:rPr>
          <w:strike/>
        </w:rPr>
      </w:pPr>
    </w:p>
    <w:p w14:paraId="06764D78" w14:textId="77777777" w:rsidR="00EE4BFE" w:rsidRDefault="00EE4BFE">
      <w:pPr>
        <w:spacing w:before="120" w:after="120" w:line="240" w:lineRule="auto"/>
        <w:contextualSpacing/>
        <w:jc w:val="center"/>
        <w:rPr>
          <w:sz w:val="28"/>
          <w:szCs w:val="28"/>
        </w:rPr>
      </w:pPr>
    </w:p>
    <w:p w14:paraId="0386A65A" w14:textId="34445491" w:rsidR="00EE4BFE" w:rsidRDefault="006C7731">
      <w:pPr>
        <w:spacing w:before="120" w:after="120" w:line="240" w:lineRule="auto"/>
        <w:contextualSpacing/>
        <w:jc w:val="center"/>
        <w:rPr>
          <w:b/>
          <w:sz w:val="28"/>
          <w:szCs w:val="28"/>
        </w:rPr>
      </w:pPr>
      <w:r>
        <w:rPr>
          <w:sz w:val="28"/>
          <w:szCs w:val="28"/>
        </w:rPr>
        <w:t xml:space="preserve">Metodologiju za izračun referentne stope prosječnog </w:t>
      </w:r>
      <w:r w:rsidR="0078434E">
        <w:rPr>
          <w:sz w:val="28"/>
          <w:szCs w:val="28"/>
        </w:rPr>
        <w:t xml:space="preserve">ponderiranog </w:t>
      </w:r>
      <w:r>
        <w:rPr>
          <w:sz w:val="28"/>
          <w:szCs w:val="28"/>
        </w:rPr>
        <w:t>troška finansiranja banaka koje posluju u Bosni i Hercegovini</w:t>
      </w:r>
    </w:p>
    <w:p w14:paraId="5FA86F2F" w14:textId="77777777" w:rsidR="00EE4BFE" w:rsidRDefault="00EE4BFE">
      <w:pPr>
        <w:spacing w:before="120" w:after="120" w:line="240" w:lineRule="auto"/>
        <w:contextualSpacing/>
      </w:pPr>
    </w:p>
    <w:p w14:paraId="5BBE4985" w14:textId="77777777" w:rsidR="006C7731" w:rsidRDefault="006C7731">
      <w:pPr>
        <w:spacing w:before="120" w:after="120" w:line="240" w:lineRule="auto"/>
        <w:contextualSpacing/>
        <w:jc w:val="center"/>
        <w:rPr>
          <w:b/>
        </w:rPr>
      </w:pPr>
    </w:p>
    <w:p w14:paraId="2E175F4A" w14:textId="77777777" w:rsidR="00EE4BFE" w:rsidRDefault="006C7731">
      <w:pPr>
        <w:spacing w:before="120" w:after="120" w:line="240" w:lineRule="auto"/>
        <w:contextualSpacing/>
        <w:jc w:val="center"/>
        <w:rPr>
          <w:b/>
        </w:rPr>
      </w:pPr>
      <w:r>
        <w:rPr>
          <w:b/>
        </w:rPr>
        <w:t>Član 1</w:t>
      </w:r>
      <w:r w:rsidR="0078434E">
        <w:rPr>
          <w:b/>
        </w:rPr>
        <w:t>.</w:t>
      </w:r>
    </w:p>
    <w:p w14:paraId="51AF69E8" w14:textId="77777777" w:rsidR="00EE4BFE" w:rsidRDefault="006C7731">
      <w:pPr>
        <w:spacing w:before="120" w:after="120" w:line="240" w:lineRule="auto"/>
        <w:contextualSpacing/>
        <w:jc w:val="center"/>
        <w:rPr>
          <w:b/>
        </w:rPr>
      </w:pPr>
      <w:r>
        <w:rPr>
          <w:b/>
        </w:rPr>
        <w:t>(Uvod)</w:t>
      </w:r>
    </w:p>
    <w:p w14:paraId="517EC2D2" w14:textId="77777777" w:rsidR="00EE4BFE" w:rsidRDefault="00EE4BFE">
      <w:pPr>
        <w:spacing w:before="120" w:after="120" w:line="240" w:lineRule="auto"/>
        <w:jc w:val="both"/>
      </w:pPr>
    </w:p>
    <w:p w14:paraId="0704CE74" w14:textId="278858EA" w:rsidR="00EE4BFE" w:rsidRDefault="006C7731">
      <w:pPr>
        <w:spacing w:before="120" w:after="120" w:line="240" w:lineRule="auto"/>
        <w:jc w:val="both"/>
      </w:pPr>
      <w:r>
        <w:t xml:space="preserve">Metodologija za izračun Referentne stope prosječnog </w:t>
      </w:r>
      <w:r w:rsidR="00E9073B">
        <w:t xml:space="preserve">ponderiranog </w:t>
      </w:r>
      <w:r>
        <w:t xml:space="preserve">troška finansiranja banaka koje posluju u Bosni i Hercegovini, razvijena je od strane Koordinacije bankarske supervizije, a nastala je kao rezultat potrebe da se uslijed snažnog rasta referentnih kamatnih stopa vodećih centralnih banaka, koji je otpočeo u 2022. godini, sagleda dinamika kretanja kamatnih stopa na kreditne plasmane banaka na domaćem tržištu, u kontekstu stvarnih troškova finansiranja. Ocijenjeno je da bi snažan rast kamatnih stopa na novoodobrene kredite, kao i ranije ugovorene kredite s promjenjivim kamatnim stopama, vezanim pretežno </w:t>
      </w:r>
      <w:r w:rsidR="006571C5">
        <w:t xml:space="preserve">za </w:t>
      </w:r>
      <w:r>
        <w:t xml:space="preserve">EURIBOR – referentnu stopu na evropskom tržištu novca, mogao dovesti do snažnog rasta idiosinkratičnog kreditnog rizika i drugih rizika vezanih </w:t>
      </w:r>
      <w:r w:rsidR="00E9073B">
        <w:t xml:space="preserve">za </w:t>
      </w:r>
      <w:r>
        <w:t xml:space="preserve">rast kamatnih stopa u domaćem bankarskom sektoru. Istovremeno, banke u BiH se, trenutno, gotovo u potpunosti oslanjaju na domaće izvore finansiranja koji nisu vezani </w:t>
      </w:r>
      <w:r w:rsidR="00E9073B">
        <w:t xml:space="preserve">za </w:t>
      </w:r>
      <w:r>
        <w:t xml:space="preserve">referentne kamatne stope s </w:t>
      </w:r>
      <w:proofErr w:type="spellStart"/>
      <w:r>
        <w:t>inotržišta</w:t>
      </w:r>
      <w:proofErr w:type="spellEnd"/>
      <w:r>
        <w:t xml:space="preserve">. Usklađivanje aktivnih kamatnih stopa s troškovima </w:t>
      </w:r>
      <w:proofErr w:type="spellStart"/>
      <w:r>
        <w:t>finansiranja</w:t>
      </w:r>
      <w:proofErr w:type="spellEnd"/>
      <w:r>
        <w:t xml:space="preserve"> </w:t>
      </w:r>
      <w:proofErr w:type="spellStart"/>
      <w:r>
        <w:t>inotržišta</w:t>
      </w:r>
      <w:proofErr w:type="spellEnd"/>
      <w:r>
        <w:t xml:space="preserve">, u trenutnim okolnostima, moglo bi dovesti do poremećaja na domaćem bankarskom tržištu. S tim u vezi, potrebno je utvrditi referentne vrijednosti na nivou cjelokupnog bankarskog sistema, da bi se smanjili rizici po finansijsku stabilnost, poboljšali </w:t>
      </w:r>
      <w:r w:rsidR="00E9073B">
        <w:t xml:space="preserve">uslovi </w:t>
      </w:r>
      <w:r>
        <w:t xml:space="preserve">funkcioniranja </w:t>
      </w:r>
      <w:r w:rsidR="00E9073B">
        <w:t xml:space="preserve">unutrašnjeg </w:t>
      </w:r>
      <w:r>
        <w:t xml:space="preserve">tržišta, te </w:t>
      </w:r>
      <w:r w:rsidR="00E9073B">
        <w:t xml:space="preserve">osigurao viši nivo </w:t>
      </w:r>
      <w:r>
        <w:t xml:space="preserve">zaštite korisnika finansijskih usluga i investitora. </w:t>
      </w:r>
    </w:p>
    <w:p w14:paraId="5E70FBA6" w14:textId="77777777" w:rsidR="006C7731" w:rsidRDefault="006C7731">
      <w:pPr>
        <w:spacing w:before="120" w:after="120" w:line="240" w:lineRule="auto"/>
        <w:contextualSpacing/>
        <w:jc w:val="center"/>
        <w:rPr>
          <w:b/>
        </w:rPr>
      </w:pPr>
    </w:p>
    <w:p w14:paraId="2F730265" w14:textId="77777777" w:rsidR="00EE4BFE" w:rsidRDefault="006C7731">
      <w:pPr>
        <w:spacing w:before="120" w:after="120" w:line="240" w:lineRule="auto"/>
        <w:contextualSpacing/>
        <w:jc w:val="center"/>
        <w:rPr>
          <w:b/>
        </w:rPr>
      </w:pPr>
      <w:r>
        <w:rPr>
          <w:b/>
        </w:rPr>
        <w:t>Član 2</w:t>
      </w:r>
      <w:r w:rsidR="00E9073B">
        <w:rPr>
          <w:b/>
        </w:rPr>
        <w:t>.</w:t>
      </w:r>
    </w:p>
    <w:p w14:paraId="6A2FB687" w14:textId="77777777" w:rsidR="00EE4BFE" w:rsidRDefault="006C7731">
      <w:pPr>
        <w:spacing w:before="120" w:after="120" w:line="240" w:lineRule="auto"/>
        <w:contextualSpacing/>
        <w:jc w:val="center"/>
        <w:rPr>
          <w:b/>
        </w:rPr>
      </w:pPr>
      <w:r>
        <w:rPr>
          <w:b/>
        </w:rPr>
        <w:t>(Predmet)</w:t>
      </w:r>
    </w:p>
    <w:p w14:paraId="437A5114" w14:textId="77777777" w:rsidR="00EE4BFE" w:rsidRDefault="00EE4BFE">
      <w:pPr>
        <w:spacing w:after="160" w:line="240" w:lineRule="auto"/>
        <w:contextualSpacing/>
        <w:jc w:val="center"/>
        <w:rPr>
          <w:rFonts w:eastAsia="Calibri"/>
          <w:b/>
          <w:bCs/>
          <w:noProof/>
          <w:lang w:eastAsia="en-US"/>
        </w:rPr>
      </w:pPr>
    </w:p>
    <w:p w14:paraId="468545A8" w14:textId="34C7CE64" w:rsidR="00EE4BFE" w:rsidRDefault="006C7731">
      <w:pPr>
        <w:spacing w:after="160" w:line="240" w:lineRule="auto"/>
        <w:jc w:val="both"/>
        <w:rPr>
          <w:rFonts w:eastAsia="Calibri"/>
          <w:noProof/>
          <w:lang w:eastAsia="en-US"/>
        </w:rPr>
      </w:pPr>
      <w:r>
        <w:rPr>
          <w:rFonts w:eastAsia="Calibri"/>
          <w:noProof/>
          <w:lang w:eastAsia="en-US"/>
        </w:rPr>
        <w:t>Ovom</w:t>
      </w:r>
      <w:r>
        <w:rPr>
          <w:rFonts w:eastAsia="Calibri"/>
          <w:bCs/>
          <w:noProof/>
          <w:lang w:eastAsia="en-US"/>
        </w:rPr>
        <w:t xml:space="preserve"> metodologijom </w:t>
      </w:r>
      <w:r>
        <w:rPr>
          <w:rFonts w:eastAsia="Calibri"/>
          <w:noProof/>
          <w:lang w:eastAsia="en-US"/>
        </w:rPr>
        <w:t xml:space="preserve">utvrđuju se elementi za izračun referentne stope prosječnog </w:t>
      </w:r>
      <w:r w:rsidR="00E9073B">
        <w:rPr>
          <w:rFonts w:eastAsia="Calibri"/>
          <w:noProof/>
          <w:lang w:eastAsia="en-US"/>
        </w:rPr>
        <w:t xml:space="preserve">ponderiranog </w:t>
      </w:r>
      <w:r>
        <w:rPr>
          <w:rFonts w:eastAsia="Calibri"/>
          <w:noProof/>
          <w:lang w:eastAsia="en-US"/>
        </w:rPr>
        <w:t xml:space="preserve">troška finansiranja banaka (RSTF) u Bosni i Hercegovini. </w:t>
      </w:r>
    </w:p>
    <w:p w14:paraId="01CE0C43" w14:textId="77777777" w:rsidR="00EE4BFE" w:rsidRDefault="006C7731">
      <w:pPr>
        <w:spacing w:after="160" w:line="240" w:lineRule="auto"/>
        <w:jc w:val="both"/>
        <w:rPr>
          <w:rFonts w:eastAsia="Calibri"/>
          <w:noProof/>
          <w:lang w:eastAsia="en-US"/>
        </w:rPr>
      </w:pPr>
      <w:r>
        <w:rPr>
          <w:rFonts w:eastAsia="Calibri"/>
          <w:noProof/>
          <w:lang w:eastAsia="en-US"/>
        </w:rPr>
        <w:t xml:space="preserve">Metodologija je prilagođena raspoloživosti statističkih i regulatornih podataka koje banke dostavljaju nadležnim agencijama za bankarstvo, i </w:t>
      </w:r>
      <w:r>
        <w:rPr>
          <w:rFonts w:eastAsia="Calibri"/>
          <w:bCs/>
          <w:noProof/>
          <w:lang w:eastAsia="en-US"/>
        </w:rPr>
        <w:t>specifičnostima</w:t>
      </w:r>
      <w:r>
        <w:rPr>
          <w:rFonts w:eastAsia="Calibri"/>
          <w:noProof/>
          <w:lang w:eastAsia="en-US"/>
        </w:rPr>
        <w:t xml:space="preserve"> poslovanja banaka u BiH.</w:t>
      </w:r>
    </w:p>
    <w:p w14:paraId="58B90BBA" w14:textId="41449545" w:rsidR="00EE4BFE" w:rsidRDefault="006C7731">
      <w:pPr>
        <w:spacing w:after="160" w:line="240" w:lineRule="auto"/>
        <w:jc w:val="both"/>
        <w:rPr>
          <w:rFonts w:eastAsia="Calibri"/>
          <w:bCs/>
          <w:noProof/>
          <w:lang w:eastAsia="en-US"/>
        </w:rPr>
      </w:pPr>
      <w:r>
        <w:rPr>
          <w:rFonts w:eastAsia="Calibri"/>
          <w:noProof/>
          <w:lang w:eastAsia="en-US"/>
        </w:rPr>
        <w:t xml:space="preserve">Referentna stopa prosječnog </w:t>
      </w:r>
      <w:r w:rsidR="00E9073B">
        <w:rPr>
          <w:rFonts w:eastAsia="Calibri"/>
          <w:noProof/>
          <w:lang w:eastAsia="en-US"/>
        </w:rPr>
        <w:t xml:space="preserve">ponderiranog </w:t>
      </w:r>
      <w:r>
        <w:rPr>
          <w:rFonts w:eastAsia="Calibri"/>
          <w:noProof/>
          <w:lang w:eastAsia="en-US"/>
        </w:rPr>
        <w:t xml:space="preserve">troška finansiranja banaka (RSTF) je stopa prosječnih </w:t>
      </w:r>
      <w:r w:rsidR="00E9073B">
        <w:rPr>
          <w:rFonts w:eastAsia="Calibri"/>
          <w:noProof/>
          <w:lang w:eastAsia="en-US"/>
        </w:rPr>
        <w:t xml:space="preserve">ponderiranih </w:t>
      </w:r>
      <w:r>
        <w:rPr>
          <w:rFonts w:eastAsia="Calibri"/>
          <w:noProof/>
          <w:lang w:eastAsia="en-US"/>
        </w:rPr>
        <w:t xml:space="preserve">troškova izvora sredstava banaka u Bosni i Hercegovini, s obzirom na period (3, 6 ili 12 mjeseci), vrstu izvora i relevantnu valutu (konvertibilnu marku i euro). RSTF se izračunava u svrhu podrške bankama prilikom prilagođavanja varijabilnih komponenti cijena izvora finansiranja u finansijskim ugovorima. Cilj je bankama staviti na raspolaganje nekoliko referentnih stopa, među kojima će moći izabrati relevantnu za odabrani </w:t>
      </w:r>
      <w:r>
        <w:rPr>
          <w:rFonts w:eastAsia="Calibri"/>
          <w:noProof/>
          <w:lang w:eastAsia="en-US"/>
        </w:rPr>
        <w:lastRenderedPageBreak/>
        <w:t xml:space="preserve">poslovni model, a istovremeno, osigurati </w:t>
      </w:r>
      <w:r w:rsidR="00E9073B">
        <w:rPr>
          <w:rFonts w:eastAsia="Calibri"/>
          <w:noProof/>
          <w:lang w:eastAsia="en-US"/>
        </w:rPr>
        <w:t xml:space="preserve">viši nivo </w:t>
      </w:r>
      <w:r>
        <w:rPr>
          <w:rFonts w:eastAsia="Calibri"/>
          <w:noProof/>
          <w:lang w:eastAsia="en-US"/>
        </w:rPr>
        <w:t xml:space="preserve">zaštite korisnika finansijskih usluga i investitora od arbitrarnih promjena u visini kamatnih stopa u postojećim ugovorima s bankama. </w:t>
      </w:r>
    </w:p>
    <w:p w14:paraId="4E03D0EA" w14:textId="77777777" w:rsidR="006C7731" w:rsidRDefault="006C7731" w:rsidP="006C7731">
      <w:pPr>
        <w:spacing w:after="160" w:line="240" w:lineRule="auto"/>
        <w:contextualSpacing/>
        <w:jc w:val="center"/>
        <w:rPr>
          <w:rFonts w:eastAsia="Calibri"/>
          <w:b/>
          <w:bCs/>
          <w:noProof/>
          <w:lang w:eastAsia="en-US"/>
        </w:rPr>
      </w:pPr>
    </w:p>
    <w:p w14:paraId="03727289" w14:textId="77777777" w:rsidR="00EE4BFE" w:rsidRDefault="006C7731" w:rsidP="006C7731">
      <w:pPr>
        <w:spacing w:after="160" w:line="240" w:lineRule="auto"/>
        <w:contextualSpacing/>
        <w:jc w:val="center"/>
        <w:rPr>
          <w:rFonts w:eastAsia="Calibri"/>
          <w:b/>
          <w:bCs/>
          <w:noProof/>
          <w:lang w:eastAsia="en-US"/>
        </w:rPr>
      </w:pPr>
      <w:r>
        <w:rPr>
          <w:rFonts w:eastAsia="Calibri"/>
          <w:b/>
          <w:bCs/>
          <w:noProof/>
          <w:lang w:eastAsia="en-US"/>
        </w:rPr>
        <w:t>Član 3</w:t>
      </w:r>
      <w:r w:rsidR="00E9073B">
        <w:rPr>
          <w:rFonts w:eastAsia="Calibri"/>
          <w:b/>
          <w:bCs/>
          <w:noProof/>
          <w:lang w:eastAsia="en-US"/>
        </w:rPr>
        <w:t>.</w:t>
      </w:r>
    </w:p>
    <w:p w14:paraId="58A096DC" w14:textId="77777777" w:rsidR="00EE4BFE" w:rsidRDefault="006C7731">
      <w:pPr>
        <w:spacing w:after="160" w:line="240" w:lineRule="auto"/>
        <w:contextualSpacing/>
        <w:jc w:val="center"/>
        <w:rPr>
          <w:rFonts w:eastAsia="Calibri"/>
          <w:b/>
          <w:bCs/>
          <w:noProof/>
          <w:lang w:eastAsia="en-US"/>
        </w:rPr>
      </w:pPr>
      <w:r>
        <w:rPr>
          <w:rFonts w:eastAsia="Calibri"/>
          <w:b/>
          <w:bCs/>
          <w:noProof/>
          <w:lang w:eastAsia="en-US"/>
        </w:rPr>
        <w:t>(Skraćenice)</w:t>
      </w:r>
    </w:p>
    <w:p w14:paraId="23C84C64" w14:textId="77777777" w:rsidR="00EE4BFE" w:rsidRDefault="00EE4BFE">
      <w:pPr>
        <w:spacing w:after="160" w:line="240" w:lineRule="auto"/>
        <w:contextualSpacing/>
        <w:rPr>
          <w:rFonts w:eastAsia="Calibri"/>
          <w:b/>
          <w:bCs/>
          <w:noProof/>
          <w:lang w:eastAsia="en-US"/>
        </w:rPr>
      </w:pPr>
    </w:p>
    <w:p w14:paraId="56276355" w14:textId="7F1F5832" w:rsidR="00EE4BFE" w:rsidRDefault="006C7731">
      <w:pPr>
        <w:spacing w:after="160" w:line="240" w:lineRule="auto"/>
        <w:contextualSpacing/>
        <w:rPr>
          <w:rFonts w:eastAsia="Calibri"/>
          <w:bCs/>
          <w:noProof/>
          <w:lang w:eastAsia="en-US"/>
        </w:rPr>
      </w:pPr>
      <w:r>
        <w:rPr>
          <w:rFonts w:eastAsia="Calibri"/>
          <w:b/>
        </w:rPr>
        <w:t>ABRS</w:t>
      </w:r>
      <w:r>
        <w:rPr>
          <w:rFonts w:eastAsia="Calibri"/>
          <w:bCs/>
          <w:noProof/>
          <w:lang w:eastAsia="en-US"/>
        </w:rPr>
        <w:t xml:space="preserve"> </w:t>
      </w:r>
      <w:r w:rsidR="00E9073B">
        <w:rPr>
          <w:rFonts w:eastAsia="Calibri"/>
          <w:bCs/>
          <w:noProof/>
          <w:lang w:eastAsia="en-US"/>
        </w:rPr>
        <w:t>‒</w:t>
      </w:r>
      <w:r>
        <w:rPr>
          <w:rFonts w:eastAsia="Calibri"/>
          <w:bCs/>
          <w:noProof/>
          <w:lang w:eastAsia="en-US"/>
        </w:rPr>
        <w:t xml:space="preserve"> Agencija za bankarstvo Republike Srpske</w:t>
      </w:r>
    </w:p>
    <w:p w14:paraId="401A86E6" w14:textId="70877816" w:rsidR="00EE4BFE" w:rsidRDefault="006C7731">
      <w:pPr>
        <w:spacing w:after="160" w:line="240" w:lineRule="auto"/>
        <w:contextualSpacing/>
        <w:rPr>
          <w:rFonts w:eastAsia="Calibri"/>
          <w:bCs/>
          <w:noProof/>
          <w:lang w:eastAsia="en-US"/>
        </w:rPr>
      </w:pPr>
      <w:r>
        <w:rPr>
          <w:rFonts w:eastAsia="Calibri"/>
          <w:b/>
        </w:rPr>
        <w:t>BiH</w:t>
      </w:r>
      <w:r>
        <w:rPr>
          <w:rFonts w:eastAsia="Calibri"/>
          <w:bCs/>
          <w:noProof/>
          <w:lang w:eastAsia="en-US"/>
        </w:rPr>
        <w:t xml:space="preserve"> </w:t>
      </w:r>
      <w:r w:rsidR="00E9073B">
        <w:rPr>
          <w:rFonts w:eastAsia="Calibri"/>
          <w:bCs/>
          <w:noProof/>
          <w:lang w:eastAsia="en-US"/>
        </w:rPr>
        <w:t>‒</w:t>
      </w:r>
      <w:r>
        <w:rPr>
          <w:rFonts w:eastAsia="Calibri"/>
          <w:bCs/>
          <w:noProof/>
          <w:lang w:eastAsia="en-US"/>
        </w:rPr>
        <w:t xml:space="preserve"> Bosna i Hercegovina</w:t>
      </w:r>
    </w:p>
    <w:p w14:paraId="54B60949" w14:textId="1816E300" w:rsidR="00EE4BFE" w:rsidRDefault="006C7731">
      <w:pPr>
        <w:spacing w:after="160" w:line="240" w:lineRule="auto"/>
        <w:contextualSpacing/>
        <w:rPr>
          <w:rFonts w:eastAsia="Calibri"/>
          <w:bCs/>
          <w:noProof/>
          <w:lang w:eastAsia="en-US"/>
        </w:rPr>
      </w:pPr>
      <w:proofErr w:type="spellStart"/>
      <w:r>
        <w:rPr>
          <w:rFonts w:eastAsia="Calibri"/>
          <w:b/>
        </w:rPr>
        <w:t>CBBiH</w:t>
      </w:r>
      <w:proofErr w:type="spellEnd"/>
      <w:r>
        <w:rPr>
          <w:rFonts w:eastAsia="Calibri"/>
          <w:bCs/>
          <w:noProof/>
          <w:lang w:eastAsia="en-US"/>
        </w:rPr>
        <w:t xml:space="preserve"> </w:t>
      </w:r>
      <w:r w:rsidR="00E9073B">
        <w:rPr>
          <w:rFonts w:eastAsia="Calibri"/>
          <w:bCs/>
          <w:noProof/>
          <w:lang w:eastAsia="en-US"/>
        </w:rPr>
        <w:t>‒</w:t>
      </w:r>
      <w:r>
        <w:rPr>
          <w:rFonts w:eastAsia="Calibri"/>
          <w:bCs/>
          <w:noProof/>
          <w:lang w:eastAsia="en-US"/>
        </w:rPr>
        <w:t xml:space="preserve"> Centralna banka Bosne i Hercegovine</w:t>
      </w:r>
    </w:p>
    <w:p w14:paraId="668F064A" w14:textId="410F25FB" w:rsidR="00EE4BFE" w:rsidRDefault="006C7731">
      <w:pPr>
        <w:spacing w:after="160" w:line="240" w:lineRule="auto"/>
        <w:contextualSpacing/>
        <w:rPr>
          <w:rFonts w:eastAsia="Calibri"/>
          <w:bCs/>
          <w:noProof/>
          <w:lang w:eastAsia="en-US"/>
        </w:rPr>
      </w:pPr>
      <w:r>
        <w:rPr>
          <w:rFonts w:eastAsia="Calibri"/>
          <w:b/>
        </w:rPr>
        <w:t>FBA</w:t>
      </w:r>
      <w:r>
        <w:rPr>
          <w:rFonts w:eastAsia="Calibri"/>
          <w:bCs/>
          <w:noProof/>
          <w:lang w:eastAsia="en-US"/>
        </w:rPr>
        <w:t xml:space="preserve"> </w:t>
      </w:r>
      <w:r w:rsidR="00E9073B">
        <w:rPr>
          <w:rFonts w:eastAsia="Calibri"/>
          <w:bCs/>
          <w:noProof/>
          <w:lang w:eastAsia="en-US"/>
        </w:rPr>
        <w:t>‒</w:t>
      </w:r>
      <w:r>
        <w:rPr>
          <w:rFonts w:eastAsia="Calibri"/>
          <w:bCs/>
          <w:noProof/>
          <w:lang w:eastAsia="en-US"/>
        </w:rPr>
        <w:t xml:space="preserve"> Agencija za bankarstvo Federacije Bosne i Hercegovine</w:t>
      </w:r>
    </w:p>
    <w:p w14:paraId="17F13DBF" w14:textId="695393E4" w:rsidR="00EE4BFE" w:rsidRDefault="006C7731">
      <w:pPr>
        <w:spacing w:after="160" w:line="240" w:lineRule="auto"/>
        <w:contextualSpacing/>
        <w:rPr>
          <w:rFonts w:eastAsia="Calibri"/>
          <w:bCs/>
          <w:noProof/>
          <w:lang w:eastAsia="en-US"/>
        </w:rPr>
      </w:pPr>
      <w:r>
        <w:rPr>
          <w:rFonts w:eastAsia="Calibri"/>
          <w:b/>
        </w:rPr>
        <w:t>Metodologija</w:t>
      </w:r>
      <w:r>
        <w:rPr>
          <w:rFonts w:eastAsia="Calibri"/>
          <w:bCs/>
          <w:noProof/>
          <w:lang w:eastAsia="en-US"/>
        </w:rPr>
        <w:t xml:space="preserve"> </w:t>
      </w:r>
      <w:r w:rsidR="00E9073B">
        <w:rPr>
          <w:rFonts w:eastAsia="Calibri"/>
          <w:bCs/>
          <w:noProof/>
          <w:lang w:eastAsia="en-US"/>
        </w:rPr>
        <w:t>‒</w:t>
      </w:r>
      <w:r>
        <w:rPr>
          <w:rFonts w:eastAsia="Calibri"/>
          <w:bCs/>
          <w:noProof/>
          <w:lang w:eastAsia="en-US"/>
        </w:rPr>
        <w:t xml:space="preserve"> Metodologija za izračun referentne stope prosječnog </w:t>
      </w:r>
      <w:r w:rsidR="00E9073B">
        <w:rPr>
          <w:rFonts w:eastAsia="Calibri"/>
          <w:bCs/>
          <w:noProof/>
          <w:lang w:eastAsia="en-US"/>
        </w:rPr>
        <w:t xml:space="preserve">ponderiranog </w:t>
      </w:r>
      <w:r>
        <w:rPr>
          <w:rFonts w:eastAsia="Calibri"/>
          <w:bCs/>
          <w:noProof/>
          <w:lang w:eastAsia="en-US"/>
        </w:rPr>
        <w:t>troška finansiranja banaka</w:t>
      </w:r>
    </w:p>
    <w:p w14:paraId="1CDA7B57" w14:textId="0AD29B75" w:rsidR="00EE4BFE" w:rsidRDefault="006C7731">
      <w:pPr>
        <w:spacing w:after="160" w:line="240" w:lineRule="auto"/>
        <w:contextualSpacing/>
        <w:rPr>
          <w:rFonts w:eastAsia="Calibri"/>
          <w:bCs/>
          <w:noProof/>
          <w:lang w:eastAsia="en-US"/>
        </w:rPr>
      </w:pPr>
      <w:r>
        <w:rPr>
          <w:rFonts w:eastAsia="Calibri"/>
          <w:b/>
          <w:bCs/>
          <w:noProof/>
          <w:lang w:eastAsia="en-US"/>
        </w:rPr>
        <w:t>RSTF</w:t>
      </w:r>
      <w:r>
        <w:rPr>
          <w:rFonts w:eastAsia="Calibri"/>
          <w:bCs/>
          <w:noProof/>
          <w:lang w:eastAsia="en-US"/>
        </w:rPr>
        <w:t xml:space="preserve"> </w:t>
      </w:r>
      <w:r w:rsidR="00E9073B">
        <w:rPr>
          <w:rFonts w:eastAsia="Calibri"/>
          <w:bCs/>
          <w:noProof/>
          <w:lang w:eastAsia="en-US"/>
        </w:rPr>
        <w:t>‒</w:t>
      </w:r>
      <w:r>
        <w:rPr>
          <w:rFonts w:eastAsia="Calibri"/>
          <w:bCs/>
          <w:noProof/>
          <w:lang w:eastAsia="en-US"/>
        </w:rPr>
        <w:t xml:space="preserve"> Referentna stopa prosječnog </w:t>
      </w:r>
      <w:r w:rsidR="00E9073B">
        <w:rPr>
          <w:rFonts w:eastAsia="Calibri"/>
          <w:bCs/>
          <w:noProof/>
          <w:lang w:eastAsia="en-US"/>
        </w:rPr>
        <w:t xml:space="preserve">ponderiranog </w:t>
      </w:r>
      <w:r>
        <w:rPr>
          <w:rFonts w:eastAsia="Calibri"/>
          <w:bCs/>
          <w:noProof/>
          <w:lang w:eastAsia="en-US"/>
        </w:rPr>
        <w:t>troška finansiranja banaka</w:t>
      </w:r>
    </w:p>
    <w:p w14:paraId="04BA7FDE" w14:textId="77777777" w:rsidR="00EE4BFE" w:rsidRDefault="00EE4BFE">
      <w:pPr>
        <w:spacing w:after="160" w:line="240" w:lineRule="auto"/>
        <w:contextualSpacing/>
        <w:rPr>
          <w:rFonts w:eastAsia="Calibri"/>
          <w:bCs/>
          <w:noProof/>
          <w:lang w:eastAsia="en-US"/>
        </w:rPr>
      </w:pPr>
    </w:p>
    <w:p w14:paraId="01C8112A" w14:textId="77777777" w:rsidR="006C7731" w:rsidRDefault="006C7731">
      <w:pPr>
        <w:spacing w:after="160" w:line="240" w:lineRule="auto"/>
        <w:contextualSpacing/>
        <w:jc w:val="center"/>
        <w:rPr>
          <w:rFonts w:eastAsia="Calibri"/>
          <w:b/>
          <w:bCs/>
          <w:noProof/>
          <w:lang w:eastAsia="en-US"/>
        </w:rPr>
      </w:pPr>
    </w:p>
    <w:p w14:paraId="73471D7F" w14:textId="77777777" w:rsidR="00EE4BFE" w:rsidRDefault="006C7731">
      <w:pPr>
        <w:spacing w:after="160" w:line="240" w:lineRule="auto"/>
        <w:contextualSpacing/>
        <w:jc w:val="center"/>
        <w:rPr>
          <w:rFonts w:eastAsia="Calibri"/>
          <w:b/>
          <w:bCs/>
          <w:noProof/>
          <w:lang w:eastAsia="en-US"/>
        </w:rPr>
      </w:pPr>
      <w:r>
        <w:rPr>
          <w:rFonts w:eastAsia="Calibri"/>
          <w:b/>
          <w:bCs/>
          <w:noProof/>
          <w:lang w:eastAsia="en-US"/>
        </w:rPr>
        <w:t>Član 4</w:t>
      </w:r>
      <w:r w:rsidR="00E9073B">
        <w:rPr>
          <w:rFonts w:eastAsia="Calibri"/>
          <w:b/>
          <w:bCs/>
          <w:noProof/>
          <w:lang w:eastAsia="en-US"/>
        </w:rPr>
        <w:t>.</w:t>
      </w:r>
    </w:p>
    <w:p w14:paraId="0A43758C" w14:textId="77777777" w:rsidR="00EE4BFE" w:rsidRDefault="006C7731">
      <w:pPr>
        <w:spacing w:after="160" w:line="240" w:lineRule="auto"/>
        <w:contextualSpacing/>
        <w:jc w:val="center"/>
        <w:rPr>
          <w:rFonts w:eastAsia="Calibri"/>
          <w:b/>
          <w:bCs/>
          <w:noProof/>
          <w:lang w:eastAsia="en-US"/>
        </w:rPr>
      </w:pPr>
      <w:r>
        <w:rPr>
          <w:rFonts w:eastAsia="Calibri"/>
          <w:b/>
          <w:bCs/>
          <w:noProof/>
          <w:lang w:eastAsia="en-US"/>
        </w:rPr>
        <w:t>(Tip i obuhvat RSTF</w:t>
      </w:r>
      <w:r w:rsidR="00E9073B">
        <w:rPr>
          <w:rFonts w:eastAsia="Calibri"/>
          <w:b/>
          <w:bCs/>
          <w:noProof/>
          <w:lang w:eastAsia="en-US"/>
        </w:rPr>
        <w:t>-a</w:t>
      </w:r>
      <w:r>
        <w:rPr>
          <w:rFonts w:eastAsia="Calibri"/>
          <w:b/>
          <w:bCs/>
          <w:noProof/>
          <w:lang w:eastAsia="en-US"/>
        </w:rPr>
        <w:t>)</w:t>
      </w:r>
    </w:p>
    <w:p w14:paraId="59012F55" w14:textId="77777777" w:rsidR="00EE4BFE" w:rsidRDefault="00EE4BFE">
      <w:pPr>
        <w:spacing w:after="160" w:line="240" w:lineRule="auto"/>
        <w:contextualSpacing/>
        <w:jc w:val="center"/>
        <w:rPr>
          <w:rFonts w:eastAsia="Calibri"/>
          <w:b/>
          <w:bCs/>
          <w:noProof/>
          <w:lang w:eastAsia="en-US"/>
        </w:rPr>
      </w:pPr>
    </w:p>
    <w:p w14:paraId="1D81C7EB" w14:textId="77777777" w:rsidR="00EE4BFE" w:rsidRDefault="006C7731">
      <w:pPr>
        <w:spacing w:after="160" w:line="240" w:lineRule="auto"/>
        <w:jc w:val="both"/>
        <w:rPr>
          <w:rFonts w:eastAsia="Calibri"/>
          <w:noProof/>
          <w:lang w:eastAsia="en-US"/>
        </w:rPr>
      </w:pPr>
      <w:r>
        <w:rPr>
          <w:rFonts w:eastAsia="Calibri"/>
          <w:noProof/>
          <w:lang w:eastAsia="en-US"/>
        </w:rPr>
        <w:t xml:space="preserve">Prema obuhvatu izvora sredstava razlikuju se sljedeće tri vrste </w:t>
      </w:r>
      <w:bookmarkStart w:id="0" w:name="_Hlk132881732"/>
      <w:r>
        <w:rPr>
          <w:rFonts w:eastAsia="Calibri"/>
          <w:noProof/>
          <w:lang w:eastAsia="en-US"/>
        </w:rPr>
        <w:t>RSTF</w:t>
      </w:r>
      <w:bookmarkEnd w:id="0"/>
      <w:r>
        <w:rPr>
          <w:rFonts w:eastAsia="Calibri"/>
          <w:noProof/>
          <w:lang w:eastAsia="en-US"/>
        </w:rPr>
        <w:t>-a:</w:t>
      </w:r>
    </w:p>
    <w:p w14:paraId="16DF3566" w14:textId="4CA29518" w:rsidR="00EE4BFE" w:rsidRDefault="006C7731">
      <w:pPr>
        <w:numPr>
          <w:ilvl w:val="0"/>
          <w:numId w:val="24"/>
        </w:numPr>
        <w:spacing w:after="160" w:line="240" w:lineRule="auto"/>
        <w:ind w:left="284" w:hanging="284"/>
        <w:contextualSpacing/>
        <w:jc w:val="both"/>
        <w:rPr>
          <w:rFonts w:eastAsia="Calibri"/>
          <w:noProof/>
          <w:lang w:eastAsia="en-US"/>
        </w:rPr>
      </w:pPr>
      <w:bookmarkStart w:id="1" w:name="_Hlk132880884"/>
      <w:r>
        <w:rPr>
          <w:rFonts w:eastAsia="Calibri"/>
          <w:noProof/>
          <w:lang w:eastAsia="en-US"/>
        </w:rPr>
        <w:t>RSTF1</w:t>
      </w:r>
      <w:bookmarkEnd w:id="1"/>
      <w:r>
        <w:rPr>
          <w:rFonts w:eastAsia="Calibri"/>
          <w:noProof/>
          <w:lang w:eastAsia="en-US"/>
        </w:rPr>
        <w:t xml:space="preserve"> </w:t>
      </w:r>
      <w:r w:rsidR="00E9073B">
        <w:rPr>
          <w:rFonts w:eastAsia="Calibri"/>
          <w:bCs/>
          <w:noProof/>
          <w:lang w:eastAsia="en-US"/>
        </w:rPr>
        <w:t>‒</w:t>
      </w:r>
      <w:r>
        <w:rPr>
          <w:rFonts w:eastAsia="Calibri"/>
          <w:noProof/>
          <w:lang w:eastAsia="en-US"/>
        </w:rPr>
        <w:t xml:space="preserve"> za izvore sredstava primljene od stanovništva (izračunava se za </w:t>
      </w:r>
      <w:bookmarkStart w:id="2" w:name="_Hlk132893852"/>
      <w:r>
        <w:rPr>
          <w:rFonts w:eastAsia="Calibri"/>
          <w:noProof/>
          <w:lang w:eastAsia="en-US"/>
        </w:rPr>
        <w:t xml:space="preserve">valute </w:t>
      </w:r>
      <w:bookmarkStart w:id="3" w:name="_Hlk132881010"/>
      <w:r>
        <w:rPr>
          <w:rFonts w:eastAsia="Calibri"/>
          <w:noProof/>
          <w:lang w:eastAsia="en-US"/>
        </w:rPr>
        <w:t>konvertibilna marka i euro</w:t>
      </w:r>
      <w:bookmarkEnd w:id="2"/>
      <w:r>
        <w:rPr>
          <w:rFonts w:eastAsia="Calibri"/>
          <w:noProof/>
          <w:lang w:eastAsia="en-US"/>
        </w:rPr>
        <w:t xml:space="preserve">) </w:t>
      </w:r>
    </w:p>
    <w:bookmarkEnd w:id="3"/>
    <w:p w14:paraId="0C105849" w14:textId="143E9F66" w:rsidR="00EE4BFE" w:rsidRDefault="006C7731">
      <w:pPr>
        <w:numPr>
          <w:ilvl w:val="0"/>
          <w:numId w:val="24"/>
        </w:numPr>
        <w:spacing w:after="160" w:line="240" w:lineRule="auto"/>
        <w:ind w:left="284" w:hanging="284"/>
        <w:contextualSpacing/>
        <w:jc w:val="both"/>
        <w:rPr>
          <w:rFonts w:eastAsia="Calibri"/>
          <w:noProof/>
          <w:lang w:eastAsia="en-US"/>
        </w:rPr>
      </w:pPr>
      <w:r>
        <w:rPr>
          <w:rFonts w:eastAsia="Calibri"/>
          <w:noProof/>
          <w:lang w:eastAsia="en-US"/>
        </w:rPr>
        <w:t xml:space="preserve">RSTF2 </w:t>
      </w:r>
      <w:r w:rsidR="00E9073B">
        <w:rPr>
          <w:rFonts w:eastAsia="Calibri"/>
          <w:bCs/>
          <w:noProof/>
          <w:lang w:eastAsia="en-US"/>
        </w:rPr>
        <w:t>‒</w:t>
      </w:r>
      <w:r>
        <w:rPr>
          <w:rFonts w:eastAsia="Calibri"/>
          <w:noProof/>
          <w:lang w:eastAsia="en-US"/>
        </w:rPr>
        <w:t xml:space="preserve"> za izvore sredstava primljene od stanovništva i nefinansijskih društava (izračunava se za valute konvertibilna marka i euro) </w:t>
      </w:r>
    </w:p>
    <w:p w14:paraId="6A178DE8" w14:textId="4175D230" w:rsidR="00EE4BFE" w:rsidRDefault="006C7731">
      <w:pPr>
        <w:numPr>
          <w:ilvl w:val="0"/>
          <w:numId w:val="24"/>
        </w:numPr>
        <w:spacing w:after="160" w:line="259" w:lineRule="auto"/>
        <w:ind w:left="284" w:hanging="284"/>
        <w:jc w:val="both"/>
        <w:rPr>
          <w:rFonts w:eastAsia="Calibri"/>
          <w:noProof/>
          <w:lang w:eastAsia="en-US"/>
        </w:rPr>
      </w:pPr>
      <w:r>
        <w:rPr>
          <w:rFonts w:eastAsia="Calibri"/>
          <w:noProof/>
          <w:lang w:eastAsia="en-US"/>
        </w:rPr>
        <w:t xml:space="preserve">RSTF3 </w:t>
      </w:r>
      <w:r w:rsidR="00E9073B">
        <w:rPr>
          <w:rFonts w:eastAsia="Calibri"/>
          <w:bCs/>
          <w:noProof/>
          <w:lang w:eastAsia="en-US"/>
        </w:rPr>
        <w:t>‒</w:t>
      </w:r>
      <w:r>
        <w:rPr>
          <w:rFonts w:eastAsia="Calibri"/>
          <w:noProof/>
          <w:lang w:eastAsia="en-US"/>
        </w:rPr>
        <w:t xml:space="preserve"> za sve izvore sredstava primljene od </w:t>
      </w:r>
      <w:bookmarkStart w:id="4" w:name="_Hlk132883422"/>
      <w:r>
        <w:rPr>
          <w:rFonts w:eastAsia="Calibri"/>
          <w:noProof/>
          <w:lang w:eastAsia="en-US"/>
        </w:rPr>
        <w:t xml:space="preserve">stanovništva, nefinansijskih društava i finansijskih institucija </w:t>
      </w:r>
      <w:bookmarkEnd w:id="4"/>
      <w:r>
        <w:rPr>
          <w:rFonts w:eastAsia="Calibri"/>
          <w:noProof/>
          <w:lang w:eastAsia="en-US"/>
        </w:rPr>
        <w:t>(izračunava se za valute konvertibilna marka i euro).</w:t>
      </w:r>
    </w:p>
    <w:p w14:paraId="24ABEFA0" w14:textId="58F6DFAF" w:rsidR="00EE4BFE" w:rsidRDefault="006C7731">
      <w:pPr>
        <w:spacing w:after="160" w:line="259" w:lineRule="auto"/>
        <w:jc w:val="both"/>
        <w:rPr>
          <w:rFonts w:eastAsia="Calibri"/>
          <w:noProof/>
          <w:lang w:eastAsia="en-US"/>
        </w:rPr>
      </w:pPr>
      <w:r>
        <w:rPr>
          <w:rFonts w:eastAsia="Calibri"/>
          <w:noProof/>
          <w:lang w:eastAsia="en-US"/>
        </w:rPr>
        <w:t>Sve banke koje posluju u Bosni i Hercegovini su obuhvaćene u izračunu RSTF</w:t>
      </w:r>
      <w:r w:rsidR="00E9073B">
        <w:rPr>
          <w:rFonts w:eastAsia="Calibri"/>
          <w:noProof/>
          <w:lang w:eastAsia="en-US"/>
        </w:rPr>
        <w:t>-a</w:t>
      </w:r>
      <w:r>
        <w:rPr>
          <w:rFonts w:eastAsia="Calibri"/>
          <w:noProof/>
          <w:lang w:eastAsia="en-US"/>
        </w:rPr>
        <w:t xml:space="preserve">. </w:t>
      </w:r>
      <w:r w:rsidR="00E9073B">
        <w:rPr>
          <w:rFonts w:eastAsia="Calibri"/>
          <w:noProof/>
          <w:lang w:eastAsia="en-US"/>
        </w:rPr>
        <w:t xml:space="preserve">Zbog </w:t>
      </w:r>
      <w:r>
        <w:rPr>
          <w:rFonts w:eastAsia="Calibri"/>
          <w:noProof/>
          <w:lang w:eastAsia="en-US"/>
        </w:rPr>
        <w:t xml:space="preserve">smanjenja rizika od asimetričnih rješenja primjenjivih za banke iz jurisdikcije entitetskih agencija za bankarstvo, posebno imajući u vidu slučajeve </w:t>
      </w:r>
      <w:r w:rsidR="00E9073B">
        <w:rPr>
          <w:rFonts w:eastAsia="Calibri"/>
          <w:noProof/>
          <w:lang w:eastAsia="en-US"/>
        </w:rPr>
        <w:t xml:space="preserve">registriranja </w:t>
      </w:r>
      <w:r>
        <w:rPr>
          <w:rFonts w:eastAsia="Calibri"/>
          <w:noProof/>
          <w:lang w:eastAsia="en-US"/>
        </w:rPr>
        <w:t xml:space="preserve">sjedišta banaka iz iste grupacije u oba entiteta, računa se </w:t>
      </w:r>
      <w:r w:rsidR="00E9073B">
        <w:rPr>
          <w:rFonts w:eastAsia="Calibri"/>
          <w:noProof/>
          <w:lang w:eastAsia="en-US"/>
        </w:rPr>
        <w:t xml:space="preserve">jedinstveni </w:t>
      </w:r>
      <w:r>
        <w:rPr>
          <w:rFonts w:eastAsia="Calibri"/>
          <w:noProof/>
          <w:lang w:eastAsia="en-US"/>
        </w:rPr>
        <w:t xml:space="preserve">RSTF za sve banke, na sličan način kao i praksa objave prosječne </w:t>
      </w:r>
      <w:r w:rsidR="00E9073B">
        <w:rPr>
          <w:rFonts w:eastAsia="Calibri"/>
          <w:noProof/>
          <w:lang w:eastAsia="en-US"/>
        </w:rPr>
        <w:t xml:space="preserve">ponderirane </w:t>
      </w:r>
      <w:r>
        <w:rPr>
          <w:rFonts w:eastAsia="Calibri"/>
          <w:noProof/>
          <w:lang w:eastAsia="en-US"/>
        </w:rPr>
        <w:t xml:space="preserve">kamatne stope na novoodobrene kredite, ili nove depozite, od strane CBBiH.   </w:t>
      </w:r>
    </w:p>
    <w:p w14:paraId="731487A4" w14:textId="77777777" w:rsidR="00EE4BFE" w:rsidRDefault="006C7731">
      <w:pPr>
        <w:spacing w:after="160" w:line="240" w:lineRule="auto"/>
        <w:jc w:val="both"/>
        <w:rPr>
          <w:rFonts w:eastAsia="Calibri"/>
          <w:noProof/>
          <w:lang w:eastAsia="en-US"/>
        </w:rPr>
      </w:pPr>
      <w:r>
        <w:rPr>
          <w:rFonts w:eastAsia="Calibri"/>
          <w:noProof/>
          <w:lang w:eastAsia="en-US"/>
        </w:rPr>
        <w:t>Svaki od ova tri RSTF-a izračunava se za referentni period od 3, 6 i 12 mjeseci. Naziv svakog RSTF-a sadržava u sebi jasnu naznaku obuhvata sredstava (obuhvat 1, 2 ili 3), naznaku dužine referentnog perioda na koje se odnose izvorni podaci na osnovu kojih se RSTF izračunava (3</w:t>
      </w:r>
      <w:r w:rsidR="006571C5">
        <w:rPr>
          <w:rFonts w:eastAsia="Calibri"/>
          <w:noProof/>
          <w:lang w:eastAsia="en-US"/>
        </w:rPr>
        <w:t xml:space="preserve"> </w:t>
      </w:r>
      <w:r>
        <w:rPr>
          <w:rFonts w:eastAsia="Calibri"/>
          <w:noProof/>
          <w:lang w:eastAsia="en-US"/>
        </w:rPr>
        <w:t>M, 6</w:t>
      </w:r>
      <w:r w:rsidR="006571C5">
        <w:rPr>
          <w:rFonts w:eastAsia="Calibri"/>
          <w:noProof/>
          <w:lang w:eastAsia="en-US"/>
        </w:rPr>
        <w:t xml:space="preserve"> </w:t>
      </w:r>
      <w:r>
        <w:rPr>
          <w:rFonts w:eastAsia="Calibri"/>
          <w:noProof/>
          <w:lang w:eastAsia="en-US"/>
        </w:rPr>
        <w:t>M ili 12</w:t>
      </w:r>
      <w:r w:rsidR="006571C5">
        <w:rPr>
          <w:rFonts w:eastAsia="Calibri"/>
          <w:noProof/>
          <w:lang w:eastAsia="en-US"/>
        </w:rPr>
        <w:t xml:space="preserve"> </w:t>
      </w:r>
      <w:r>
        <w:rPr>
          <w:rFonts w:eastAsia="Calibri"/>
          <w:noProof/>
          <w:lang w:eastAsia="en-US"/>
        </w:rPr>
        <w:t>M)</w:t>
      </w:r>
      <w:r w:rsidR="00C20BA7">
        <w:rPr>
          <w:rFonts w:eastAsia="Calibri"/>
          <w:noProof/>
          <w:lang w:eastAsia="en-US"/>
        </w:rPr>
        <w:t>,</w:t>
      </w:r>
      <w:r>
        <w:rPr>
          <w:rFonts w:eastAsia="Calibri"/>
          <w:noProof/>
          <w:lang w:eastAsia="en-US"/>
        </w:rPr>
        <w:t xml:space="preserve"> te oznaku valute sredstava (KM i EUR), ukupno 18 stopa. Pritom se sredstva u valuti KM s valutnom klauzulom u euru uključuju u valutu KM. </w:t>
      </w:r>
    </w:p>
    <w:p w14:paraId="75A49975" w14:textId="77777777" w:rsidR="00EE4BFE" w:rsidRDefault="006C7731">
      <w:pPr>
        <w:spacing w:after="160" w:line="240" w:lineRule="auto"/>
        <w:jc w:val="both"/>
        <w:rPr>
          <w:rFonts w:eastAsia="Calibri"/>
          <w:noProof/>
          <w:lang w:eastAsia="en-US"/>
        </w:rPr>
      </w:pPr>
      <w:r>
        <w:rPr>
          <w:rFonts w:eastAsia="Calibri"/>
          <w:noProof/>
          <w:lang w:eastAsia="en-US"/>
        </w:rPr>
        <w:t>RSTF indeksi izračunavaju se isključivo za bankarski sektor. Na osnovu podataka po svim pojedinačnim bankama, izračunava se prosječna stopa troška finansiranja banaka u BiH.</w:t>
      </w:r>
    </w:p>
    <w:p w14:paraId="46A01983" w14:textId="77777777" w:rsidR="006C7731" w:rsidRDefault="006C7731">
      <w:pPr>
        <w:spacing w:after="160" w:line="240" w:lineRule="auto"/>
        <w:contextualSpacing/>
        <w:jc w:val="center"/>
        <w:rPr>
          <w:rFonts w:eastAsia="Calibri"/>
          <w:b/>
          <w:bCs/>
          <w:noProof/>
          <w:lang w:eastAsia="en-US"/>
        </w:rPr>
      </w:pPr>
    </w:p>
    <w:p w14:paraId="06FF81BF" w14:textId="77777777" w:rsidR="00EE4BFE" w:rsidRDefault="006C7731">
      <w:pPr>
        <w:spacing w:after="160" w:line="240" w:lineRule="auto"/>
        <w:contextualSpacing/>
        <w:jc w:val="center"/>
        <w:rPr>
          <w:rFonts w:eastAsia="Calibri"/>
          <w:b/>
          <w:bCs/>
          <w:noProof/>
          <w:lang w:eastAsia="en-US"/>
        </w:rPr>
      </w:pPr>
      <w:r>
        <w:rPr>
          <w:rFonts w:eastAsia="Calibri"/>
          <w:b/>
          <w:bCs/>
          <w:noProof/>
          <w:lang w:eastAsia="en-US"/>
        </w:rPr>
        <w:t>Član 5</w:t>
      </w:r>
      <w:r w:rsidR="00C20BA7">
        <w:rPr>
          <w:rFonts w:eastAsia="Calibri"/>
          <w:b/>
          <w:bCs/>
          <w:noProof/>
          <w:lang w:eastAsia="en-US"/>
        </w:rPr>
        <w:t>.</w:t>
      </w:r>
      <w:r>
        <w:rPr>
          <w:rFonts w:eastAsia="Calibri"/>
          <w:b/>
          <w:bCs/>
          <w:noProof/>
          <w:lang w:eastAsia="en-US"/>
        </w:rPr>
        <w:t xml:space="preserve"> </w:t>
      </w:r>
    </w:p>
    <w:p w14:paraId="132136FC" w14:textId="77777777" w:rsidR="00EE4BFE" w:rsidRDefault="006C7731">
      <w:pPr>
        <w:spacing w:after="160" w:line="240" w:lineRule="auto"/>
        <w:contextualSpacing/>
        <w:jc w:val="center"/>
        <w:rPr>
          <w:rFonts w:eastAsia="Calibri"/>
          <w:b/>
          <w:bCs/>
          <w:noProof/>
          <w:lang w:eastAsia="en-US"/>
        </w:rPr>
      </w:pPr>
      <w:r>
        <w:rPr>
          <w:rFonts w:eastAsia="Calibri"/>
          <w:b/>
          <w:bCs/>
          <w:noProof/>
          <w:lang w:eastAsia="en-US"/>
        </w:rPr>
        <w:t>(Struktura, izvori i obuhvat podataka)</w:t>
      </w:r>
    </w:p>
    <w:p w14:paraId="7C4716AB" w14:textId="77777777" w:rsidR="00EE4BFE" w:rsidRDefault="00EE4BFE">
      <w:pPr>
        <w:spacing w:after="160" w:line="240" w:lineRule="auto"/>
        <w:contextualSpacing/>
        <w:jc w:val="center"/>
        <w:rPr>
          <w:rFonts w:eastAsia="Calibri"/>
          <w:b/>
          <w:bCs/>
          <w:noProof/>
          <w:lang w:eastAsia="en-US"/>
        </w:rPr>
      </w:pPr>
    </w:p>
    <w:p w14:paraId="4E3D9601" w14:textId="11F0197D" w:rsidR="00EE4BFE" w:rsidRDefault="006C7731">
      <w:pPr>
        <w:spacing w:after="160" w:line="259" w:lineRule="auto"/>
        <w:jc w:val="both"/>
        <w:rPr>
          <w:rFonts w:eastAsia="Calibri"/>
          <w:lang w:eastAsia="en-US"/>
        </w:rPr>
      </w:pPr>
      <w:r>
        <w:rPr>
          <w:rFonts w:eastAsia="Calibri"/>
          <w:lang w:eastAsia="en-US"/>
        </w:rPr>
        <w:t>Za potrebe izračuna RSTF-a, za svaki kvartal prikupljaju</w:t>
      </w:r>
      <w:r w:rsidR="00C20BA7">
        <w:rPr>
          <w:rFonts w:eastAsia="Calibri"/>
          <w:lang w:eastAsia="en-US"/>
        </w:rPr>
        <w:t xml:space="preserve"> se</w:t>
      </w:r>
      <w:r>
        <w:rPr>
          <w:rFonts w:eastAsia="Calibri"/>
          <w:lang w:eastAsia="en-US"/>
        </w:rPr>
        <w:t xml:space="preserve"> podaci o kamatnim troškovima banaka koje posluju u BiH, za glavne izvore sredstava u toku prethodnog kvartala (u </w:t>
      </w:r>
      <w:r>
        <w:rPr>
          <w:rFonts w:eastAsia="Calibri"/>
          <w:lang w:eastAsia="en-US"/>
        </w:rPr>
        <w:lastRenderedPageBreak/>
        <w:t>nastavku teksta: referentni kvartal), kao i podaci o stanjima tih izvora sredstava na kraju svakog mjeseca unutar referentnog kvartala na koje se navedeni kamatni troškovi odnose, koji se od strane FBA i ABRS</w:t>
      </w:r>
      <w:r w:rsidR="00C20BA7">
        <w:rPr>
          <w:rFonts w:eastAsia="Calibri"/>
          <w:lang w:eastAsia="en-US"/>
        </w:rPr>
        <w:t>-a</w:t>
      </w:r>
      <w:r>
        <w:rPr>
          <w:rFonts w:eastAsia="Calibri"/>
          <w:lang w:eastAsia="en-US"/>
        </w:rPr>
        <w:t xml:space="preserve"> </w:t>
      </w:r>
      <w:r>
        <w:rPr>
          <w:noProof/>
          <w:lang w:eastAsia="en-US"/>
        </w:rPr>
        <w:t>dostavljaju CBBiH</w:t>
      </w:r>
      <w:r>
        <w:rPr>
          <w:rFonts w:eastAsia="Calibri"/>
          <w:lang w:eastAsia="en-US"/>
        </w:rPr>
        <w:t xml:space="preserve">. </w:t>
      </w:r>
    </w:p>
    <w:p w14:paraId="2BB0962E" w14:textId="48C72829" w:rsidR="00EE4BFE" w:rsidRDefault="006C7731">
      <w:pPr>
        <w:spacing w:after="160" w:line="240" w:lineRule="auto"/>
        <w:jc w:val="both"/>
        <w:rPr>
          <w:rFonts w:eastAsia="Calibri"/>
          <w:noProof/>
          <w:lang w:eastAsia="en-US"/>
        </w:rPr>
      </w:pPr>
      <w:r>
        <w:rPr>
          <w:rFonts w:eastAsia="Calibri"/>
          <w:noProof/>
          <w:lang w:eastAsia="en-US"/>
        </w:rPr>
        <w:t xml:space="preserve">Glavni izvori sredstava </w:t>
      </w:r>
      <w:r w:rsidR="00C20BA7">
        <w:rPr>
          <w:rFonts w:eastAsia="Calibri"/>
          <w:noProof/>
          <w:lang w:eastAsia="en-US"/>
        </w:rPr>
        <w:t xml:space="preserve">obuhvataju </w:t>
      </w:r>
      <w:r>
        <w:rPr>
          <w:rFonts w:eastAsia="Calibri"/>
          <w:noProof/>
          <w:lang w:eastAsia="en-US"/>
        </w:rPr>
        <w:t>finansijske obaveze raspoređene u portfolio koji se vrednuje po amortiziranom trošku (bruto glavnica nepodređenih depozita i obavez</w:t>
      </w:r>
      <w:r w:rsidR="00216A84">
        <w:rPr>
          <w:rFonts w:eastAsia="Calibri"/>
          <w:noProof/>
          <w:lang w:eastAsia="en-US"/>
        </w:rPr>
        <w:t>e</w:t>
      </w:r>
      <w:r>
        <w:rPr>
          <w:rFonts w:eastAsia="Calibri"/>
          <w:noProof/>
          <w:lang w:eastAsia="en-US"/>
        </w:rPr>
        <w:t xml:space="preserve"> po uzetim kreditima). Izvori sredstava </w:t>
      </w:r>
      <w:r w:rsidR="00C20BA7">
        <w:rPr>
          <w:rFonts w:eastAsia="Calibri"/>
          <w:noProof/>
          <w:lang w:eastAsia="en-US"/>
        </w:rPr>
        <w:t xml:space="preserve">obuhvataju </w:t>
      </w:r>
      <w:r>
        <w:rPr>
          <w:rFonts w:eastAsia="Calibri"/>
          <w:noProof/>
          <w:lang w:eastAsia="en-US"/>
        </w:rPr>
        <w:t xml:space="preserve">rezidentne i nerezidentne sektore. </w:t>
      </w:r>
      <w:r w:rsidR="00C20BA7">
        <w:rPr>
          <w:rFonts w:eastAsia="Calibri"/>
          <w:noProof/>
          <w:lang w:eastAsia="en-US"/>
        </w:rPr>
        <w:t xml:space="preserve">Subordinirani </w:t>
      </w:r>
      <w:r>
        <w:rPr>
          <w:rFonts w:eastAsia="Calibri"/>
          <w:noProof/>
          <w:lang w:eastAsia="en-US"/>
        </w:rPr>
        <w:t xml:space="preserve">dug, </w:t>
      </w:r>
      <w:proofErr w:type="spellStart"/>
      <w:r>
        <w:t>maržni</w:t>
      </w:r>
      <w:proofErr w:type="spellEnd"/>
      <w:r>
        <w:t>, hibridni i podređeni instrumenti, te bilo koji drugi instrumenti kapitala ne ulaze u obuhvat instrumenata za izračun RSTF</w:t>
      </w:r>
      <w:r w:rsidR="00C20BA7">
        <w:t>-a</w:t>
      </w:r>
      <w:r>
        <w:t xml:space="preserve">. </w:t>
      </w:r>
    </w:p>
    <w:p w14:paraId="307E392E" w14:textId="18A194AF" w:rsidR="00EE4BFE" w:rsidRDefault="00C20BA7">
      <w:pPr>
        <w:spacing w:after="160" w:line="240" w:lineRule="auto"/>
        <w:jc w:val="both"/>
        <w:rPr>
          <w:noProof/>
          <w:lang w:eastAsia="en-US"/>
        </w:rPr>
      </w:pPr>
      <w:r>
        <w:rPr>
          <w:noProof/>
          <w:lang w:eastAsia="en-US"/>
        </w:rPr>
        <w:t xml:space="preserve">Obim </w:t>
      </w:r>
      <w:r w:rsidR="006C7731">
        <w:rPr>
          <w:noProof/>
          <w:lang w:eastAsia="en-US"/>
        </w:rPr>
        <w:t xml:space="preserve">finansijskih instrumenata </w:t>
      </w:r>
      <w:r>
        <w:rPr>
          <w:noProof/>
          <w:lang w:eastAsia="en-US"/>
        </w:rPr>
        <w:t xml:space="preserve">zavisi od obuhvata </w:t>
      </w:r>
      <w:r w:rsidR="006C7731">
        <w:rPr>
          <w:noProof/>
          <w:lang w:eastAsia="en-US"/>
        </w:rPr>
        <w:t>pojedinoga RSTF-a. Obuhvat sredstava u Obuhvatu 1 (Depoziti stanovništva) i Obuhvatu 2 (</w:t>
      </w:r>
      <w:bookmarkStart w:id="5" w:name="_Hlk132884003"/>
      <w:r w:rsidR="006C7731">
        <w:rPr>
          <w:noProof/>
          <w:lang w:eastAsia="en-US"/>
        </w:rPr>
        <w:t>Depoziti stanovništva i nefinansijskih društava</w:t>
      </w:r>
      <w:bookmarkEnd w:id="5"/>
      <w:r w:rsidR="006C7731">
        <w:rPr>
          <w:noProof/>
          <w:lang w:eastAsia="en-US"/>
        </w:rPr>
        <w:t xml:space="preserve">) ograničen je na depozite. Depoziti stanovništva obuhvataju sve depozite fizičkih lica/građana i obrtnika, dok depoziti nefinansijskih društava obuhvataju depozite vladinih institucija, javnih </w:t>
      </w:r>
      <w:r>
        <w:rPr>
          <w:noProof/>
          <w:lang w:eastAsia="en-US"/>
        </w:rPr>
        <w:t>poduzeća</w:t>
      </w:r>
      <w:r w:rsidR="006C7731">
        <w:rPr>
          <w:noProof/>
          <w:lang w:eastAsia="en-US"/>
        </w:rPr>
        <w:t xml:space="preserve">, privatnih </w:t>
      </w:r>
      <w:r>
        <w:rPr>
          <w:noProof/>
          <w:lang w:eastAsia="en-US"/>
        </w:rPr>
        <w:t xml:space="preserve">poduzeća </w:t>
      </w:r>
      <w:r w:rsidR="006C7731">
        <w:rPr>
          <w:noProof/>
          <w:lang w:eastAsia="en-US"/>
        </w:rPr>
        <w:t>i društava i neprofitnih organizacija. Obuhvat 3 (</w:t>
      </w:r>
      <w:bookmarkStart w:id="6" w:name="_Hlk132884028"/>
      <w:r w:rsidR="006C7731">
        <w:rPr>
          <w:noProof/>
          <w:lang w:eastAsia="en-US"/>
        </w:rPr>
        <w:t>Svi kamatonosni izvori od stanovništva, nefinansijskih društava i finansijskih institucij</w:t>
      </w:r>
      <w:bookmarkEnd w:id="6"/>
      <w:r w:rsidR="006C7731">
        <w:rPr>
          <w:noProof/>
          <w:lang w:eastAsia="en-US"/>
        </w:rPr>
        <w:t>a) uključuje sve depozite stanovništva, depozite nefinansijskih društava, depozite finansijskih institucija, uzete kredite i izdate dužničke vrijednosne papire. Depoziti finansijskih institucija obuhvataju depozite bankarskih i nebankarskih finansijskih institucija. Instrumenti kapitala se ne uključuju u izračun RSTF</w:t>
      </w:r>
      <w:r>
        <w:rPr>
          <w:noProof/>
          <w:lang w:eastAsia="en-US"/>
        </w:rPr>
        <w:t>-a</w:t>
      </w:r>
      <w:r w:rsidR="006C7731">
        <w:rPr>
          <w:noProof/>
          <w:lang w:eastAsia="en-US"/>
        </w:rPr>
        <w:t>.</w:t>
      </w:r>
    </w:p>
    <w:p w14:paraId="756464B6" w14:textId="77777777" w:rsidR="00EE4BFE" w:rsidRDefault="006C7731">
      <w:pPr>
        <w:spacing w:after="160" w:line="240" w:lineRule="auto"/>
        <w:jc w:val="both"/>
        <w:rPr>
          <w:noProof/>
          <w:lang w:eastAsia="en-US"/>
        </w:rPr>
      </w:pPr>
      <w:r>
        <w:rPr>
          <w:noProof/>
          <w:lang w:eastAsia="en-US"/>
        </w:rPr>
        <w:t>RSTF</w:t>
      </w:r>
      <w:r w:rsidR="00C20BA7">
        <w:rPr>
          <w:noProof/>
          <w:lang w:eastAsia="en-US"/>
        </w:rPr>
        <w:t>-ovi</w:t>
      </w:r>
      <w:r>
        <w:rPr>
          <w:noProof/>
          <w:lang w:eastAsia="en-US"/>
        </w:rPr>
        <w:t xml:space="preserve"> se izračunavaju za tri obuhvata (Stanovništvo, Stanovništvo i nefinansijska društva i Stanovništvo, nefinansijska društava i finansijske institucije) i dvije valute (konvertibilna marka i euro). Pritom se pokazatelji za KM valutu odnose i na KM-ovske izvore sredstava banaka ugovorene s valutnom klauzulom u EUR valuti.</w:t>
      </w:r>
    </w:p>
    <w:p w14:paraId="27789381" w14:textId="4B7F5D09" w:rsidR="00EE4BFE" w:rsidRDefault="006C7731">
      <w:pPr>
        <w:spacing w:after="160" w:line="240" w:lineRule="auto"/>
        <w:jc w:val="both"/>
        <w:rPr>
          <w:noProof/>
          <w:lang w:eastAsia="en-US"/>
        </w:rPr>
      </w:pPr>
      <w:r>
        <w:rPr>
          <w:noProof/>
          <w:lang w:eastAsia="en-US"/>
        </w:rPr>
        <w:t>RSTF</w:t>
      </w:r>
      <w:r w:rsidR="00C20BA7">
        <w:rPr>
          <w:noProof/>
          <w:lang w:eastAsia="en-US"/>
        </w:rPr>
        <w:t>-ovi</w:t>
      </w:r>
      <w:r>
        <w:rPr>
          <w:noProof/>
          <w:lang w:eastAsia="en-US"/>
        </w:rPr>
        <w:t xml:space="preserve"> se izračunavaju na osnovu mjesečnih i kvartalnih historijskih podataka koje banke kvartalno dostavljaju FBA i ABRS-u. Za kamatne troškove najprije se računaju kvartalni pokazatelji za svaku banku posebno (na način da se od iznosa na kraju izvještajnog perioda oduzme iznos iz prethodnog kvartala izračuna, osim za prvi kvartal u kalendarskoj godini), a potom se ti kvartalni pokazatelji </w:t>
      </w:r>
      <w:r w:rsidR="006571C5">
        <w:rPr>
          <w:noProof/>
          <w:lang w:eastAsia="en-US"/>
        </w:rPr>
        <w:t xml:space="preserve">sabiru </w:t>
      </w:r>
      <w:r>
        <w:rPr>
          <w:noProof/>
          <w:lang w:eastAsia="en-US"/>
        </w:rPr>
        <w:t xml:space="preserve">(agregiraju). Za stanja izvora finansiranja podaci se </w:t>
      </w:r>
      <w:r w:rsidR="006571C5">
        <w:rPr>
          <w:noProof/>
          <w:lang w:eastAsia="en-US"/>
        </w:rPr>
        <w:t xml:space="preserve">sabiru </w:t>
      </w:r>
      <w:r>
        <w:rPr>
          <w:noProof/>
          <w:lang w:eastAsia="en-US"/>
        </w:rPr>
        <w:t xml:space="preserve">(agregiraju) za sve banke u jednom mjesecu. </w:t>
      </w:r>
    </w:p>
    <w:p w14:paraId="57BF793A" w14:textId="7020EEEB" w:rsidR="00EE4BFE" w:rsidRDefault="006C7731">
      <w:pPr>
        <w:spacing w:after="160" w:line="240" w:lineRule="auto"/>
        <w:jc w:val="both"/>
        <w:rPr>
          <w:noProof/>
          <w:lang w:eastAsia="en-US"/>
        </w:rPr>
      </w:pPr>
      <w:r>
        <w:rPr>
          <w:noProof/>
          <w:lang w:eastAsia="en-US"/>
        </w:rPr>
        <w:t xml:space="preserve">Svi podaci se iskazuju u apsolutnim iznosima, </w:t>
      </w:r>
      <w:r w:rsidR="00C20BA7">
        <w:rPr>
          <w:noProof/>
          <w:lang w:eastAsia="en-US"/>
        </w:rPr>
        <w:t xml:space="preserve">zaokruženim </w:t>
      </w:r>
      <w:r>
        <w:rPr>
          <w:noProof/>
          <w:lang w:eastAsia="en-US"/>
        </w:rPr>
        <w:t>na dva decimalna mjesta.</w:t>
      </w:r>
    </w:p>
    <w:p w14:paraId="679A9D34" w14:textId="3A7AA69B" w:rsidR="00EE4BFE" w:rsidRDefault="006C7731">
      <w:pPr>
        <w:spacing w:after="160" w:line="240" w:lineRule="auto"/>
        <w:jc w:val="both"/>
        <w:rPr>
          <w:noProof/>
          <w:lang w:eastAsia="en-US"/>
        </w:rPr>
      </w:pPr>
      <w:r>
        <w:rPr>
          <w:noProof/>
          <w:lang w:eastAsia="en-US"/>
        </w:rPr>
        <w:t xml:space="preserve">Za potrebe izračuna RSTF-a koriste se podaci svih banaka koje imaju dozvolu za rad izdatu od nadležnih entitetskih agencija za bankarstvo, a koje su poslovale u cijelom referentnom kvartalu (od prvog do posljednjeg dana tog kvartala), tj. u izračun ne ulaze podaci onih banaka koje su prestale ili počele poslovati u toku referentnog kvartala (zbog stečaja, likvidacije, spajanja, pripajanja i sl.). </w:t>
      </w:r>
    </w:p>
    <w:p w14:paraId="318DCCC0" w14:textId="77777777" w:rsidR="00EE4BFE" w:rsidRDefault="006C7731">
      <w:pPr>
        <w:spacing w:after="160" w:line="240" w:lineRule="auto"/>
        <w:jc w:val="both"/>
        <w:rPr>
          <w:noProof/>
          <w:lang w:eastAsia="en-US"/>
        </w:rPr>
      </w:pPr>
      <w:r>
        <w:rPr>
          <w:noProof/>
          <w:lang w:eastAsia="en-US"/>
        </w:rPr>
        <w:t>Tehnički zapis izračuna pokazatelja:</w:t>
      </w:r>
    </w:p>
    <w:p w14:paraId="27F4BB11" w14:textId="77777777" w:rsidR="00EE4BFE" w:rsidRDefault="00EE4BFE">
      <w:pPr>
        <w:spacing w:line="240" w:lineRule="auto"/>
        <w:ind w:left="357"/>
        <w:jc w:val="both"/>
        <w:rPr>
          <w:noProof/>
          <w:lang w:eastAsia="en-US"/>
        </w:rPr>
      </w:pPr>
    </w:p>
    <w:p w14:paraId="72B9426E" w14:textId="3E8D3AA2" w:rsidR="00EE4BFE" w:rsidRDefault="00FE2549">
      <w:pPr>
        <w:spacing w:after="160" w:line="259" w:lineRule="auto"/>
        <w:rPr>
          <w:rFonts w:ascii="Calibri" w:eastAsia="Calibri" w:hAnsi="Calibri"/>
          <w:sz w:val="22"/>
          <w:szCs w:val="22"/>
          <w:lang w:eastAsia="en-US"/>
        </w:rPr>
      </w:pPr>
      <w:r w:rsidRPr="00FE2549">
        <w:rPr>
          <w:rFonts w:eastAsia="Calibri"/>
          <w:noProof/>
        </w:rPr>
        <w:lastRenderedPageBreak/>
        <w:drawing>
          <wp:inline distT="0" distB="0" distL="0" distR="0" wp14:anchorId="05E5ED8F" wp14:editId="63D24ACF">
            <wp:extent cx="5731510" cy="2551368"/>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551368"/>
                    </a:xfrm>
                    <a:prstGeom prst="rect">
                      <a:avLst/>
                    </a:prstGeom>
                    <a:noFill/>
                    <a:ln>
                      <a:noFill/>
                    </a:ln>
                  </pic:spPr>
                </pic:pic>
              </a:graphicData>
            </a:graphic>
          </wp:inline>
        </w:drawing>
      </w:r>
    </w:p>
    <w:p w14:paraId="6AE1AC47" w14:textId="77777777" w:rsidR="006C7731" w:rsidRDefault="006C7731">
      <w:pPr>
        <w:spacing w:line="240" w:lineRule="auto"/>
        <w:jc w:val="center"/>
        <w:rPr>
          <w:b/>
          <w:bCs/>
          <w:noProof/>
          <w:lang w:eastAsia="en-US"/>
        </w:rPr>
      </w:pPr>
      <w:bookmarkStart w:id="7" w:name="_Hlk132890854"/>
    </w:p>
    <w:p w14:paraId="6E9B1222" w14:textId="77777777" w:rsidR="00EE4BFE" w:rsidRDefault="006C7731">
      <w:pPr>
        <w:spacing w:line="240" w:lineRule="auto"/>
        <w:jc w:val="center"/>
        <w:rPr>
          <w:b/>
          <w:bCs/>
          <w:noProof/>
          <w:lang w:eastAsia="en-US"/>
        </w:rPr>
      </w:pPr>
      <w:r>
        <w:rPr>
          <w:b/>
          <w:bCs/>
          <w:noProof/>
          <w:lang w:eastAsia="en-US"/>
        </w:rPr>
        <w:t>Član 6</w:t>
      </w:r>
      <w:r w:rsidR="00C20BA7">
        <w:rPr>
          <w:b/>
          <w:bCs/>
          <w:noProof/>
          <w:lang w:eastAsia="en-US"/>
        </w:rPr>
        <w:t>.</w:t>
      </w:r>
    </w:p>
    <w:p w14:paraId="4E138362" w14:textId="77777777" w:rsidR="00EE4BFE" w:rsidRDefault="006C7731">
      <w:pPr>
        <w:spacing w:line="240" w:lineRule="auto"/>
        <w:jc w:val="center"/>
        <w:rPr>
          <w:b/>
          <w:bCs/>
          <w:noProof/>
          <w:lang w:eastAsia="en-US"/>
        </w:rPr>
      </w:pPr>
      <w:r>
        <w:rPr>
          <w:b/>
          <w:bCs/>
          <w:noProof/>
          <w:lang w:eastAsia="en-US"/>
        </w:rPr>
        <w:t xml:space="preserve">(Izračun </w:t>
      </w:r>
      <w:bookmarkStart w:id="8" w:name="_Hlk132889724"/>
      <w:r>
        <w:rPr>
          <w:b/>
          <w:bCs/>
          <w:noProof/>
          <w:lang w:eastAsia="en-US"/>
        </w:rPr>
        <w:t>RSTF</w:t>
      </w:r>
      <w:bookmarkEnd w:id="7"/>
      <w:bookmarkEnd w:id="8"/>
      <w:r w:rsidR="00C20BA7">
        <w:rPr>
          <w:b/>
          <w:bCs/>
          <w:noProof/>
          <w:lang w:eastAsia="en-US"/>
        </w:rPr>
        <w:t>-a</w:t>
      </w:r>
      <w:r>
        <w:rPr>
          <w:b/>
          <w:bCs/>
          <w:noProof/>
          <w:lang w:eastAsia="en-US"/>
        </w:rPr>
        <w:t>)</w:t>
      </w:r>
    </w:p>
    <w:p w14:paraId="5DA42921" w14:textId="77777777" w:rsidR="00EE4BFE" w:rsidRDefault="00EE4BFE">
      <w:pPr>
        <w:spacing w:line="240" w:lineRule="auto"/>
        <w:jc w:val="center"/>
        <w:rPr>
          <w:b/>
          <w:bCs/>
          <w:noProof/>
          <w:lang w:eastAsia="en-US"/>
        </w:rPr>
      </w:pPr>
    </w:p>
    <w:p w14:paraId="7DCAD1B8" w14:textId="3105629E" w:rsidR="00EE4BFE" w:rsidRDefault="006C7731">
      <w:pPr>
        <w:spacing w:line="240" w:lineRule="auto"/>
        <w:jc w:val="both"/>
        <w:rPr>
          <w:rFonts w:eastAsia="Calibri"/>
          <w:noProof/>
          <w:lang w:eastAsia="en-US"/>
        </w:rPr>
      </w:pPr>
      <w:bookmarkStart w:id="9" w:name="_Hlk132894886"/>
      <w:r>
        <w:rPr>
          <w:rFonts w:eastAsia="Calibri"/>
          <w:noProof/>
          <w:lang w:eastAsia="en-US"/>
        </w:rPr>
        <w:t>RSTF</w:t>
      </w:r>
      <w:bookmarkEnd w:id="9"/>
      <w:r>
        <w:rPr>
          <w:rFonts w:eastAsia="Calibri"/>
          <w:noProof/>
          <w:lang w:eastAsia="en-US"/>
        </w:rPr>
        <w:t>, za pojedinu valutu, određeni obuhvat izvora sredstava i referentni period na koje se podaci odnose, računa se na sljedeći način:</w:t>
      </w:r>
    </w:p>
    <w:p w14:paraId="36A512A1" w14:textId="77777777" w:rsidR="00216A84" w:rsidRDefault="00216A84">
      <w:pPr>
        <w:spacing w:line="240" w:lineRule="auto"/>
        <w:jc w:val="both"/>
        <w:rPr>
          <w:rFonts w:eastAsia="Calibri"/>
          <w:noProof/>
          <w:lang w:eastAsia="en-US"/>
        </w:rPr>
      </w:pPr>
    </w:p>
    <w:p w14:paraId="68DC6DE9" w14:textId="77777777" w:rsidR="00EE4BFE" w:rsidRDefault="006C7731">
      <w:pPr>
        <w:numPr>
          <w:ilvl w:val="0"/>
          <w:numId w:val="23"/>
        </w:numPr>
        <w:spacing w:after="160" w:line="240" w:lineRule="auto"/>
        <w:jc w:val="both"/>
        <w:rPr>
          <w:rFonts w:eastAsia="Calibri"/>
          <w:noProof/>
          <w:lang w:eastAsia="en-US"/>
        </w:rPr>
      </w:pPr>
      <w:r>
        <w:rPr>
          <w:rFonts w:eastAsia="Calibri"/>
          <w:noProof/>
          <w:lang w:eastAsia="en-US"/>
        </w:rPr>
        <w:t xml:space="preserve">izračuna se ukupni kamatni trošak svih banaka u cijelom periodu s obzirom na tu valutu i obuhvat izvora sredstava; </w:t>
      </w:r>
    </w:p>
    <w:p w14:paraId="6B717D67" w14:textId="77777777" w:rsidR="00EE4BFE" w:rsidRDefault="006C7731">
      <w:pPr>
        <w:numPr>
          <w:ilvl w:val="0"/>
          <w:numId w:val="23"/>
        </w:numPr>
        <w:spacing w:after="160" w:line="240" w:lineRule="auto"/>
        <w:jc w:val="both"/>
        <w:rPr>
          <w:rFonts w:eastAsia="Calibri"/>
          <w:noProof/>
          <w:lang w:eastAsia="en-US"/>
        </w:rPr>
      </w:pPr>
      <w:r>
        <w:rPr>
          <w:rFonts w:eastAsia="Calibri"/>
          <w:noProof/>
          <w:lang w:eastAsia="en-US"/>
        </w:rPr>
        <w:t>izračuna se prosječno stanje glavnih izvora finansiranja u cijelom periodu s obzirom na tu valutu i obuhvat izvora finansiranja;</w:t>
      </w:r>
    </w:p>
    <w:p w14:paraId="7BE4B89F" w14:textId="3A77230D" w:rsidR="00EE4BFE" w:rsidRDefault="006C7731">
      <w:pPr>
        <w:numPr>
          <w:ilvl w:val="0"/>
          <w:numId w:val="23"/>
        </w:numPr>
        <w:spacing w:after="160" w:line="240" w:lineRule="auto"/>
        <w:jc w:val="both"/>
        <w:rPr>
          <w:rFonts w:eastAsia="Calibri"/>
          <w:noProof/>
          <w:lang w:eastAsia="en-US"/>
        </w:rPr>
      </w:pPr>
      <w:r>
        <w:rPr>
          <w:rFonts w:eastAsia="Calibri"/>
          <w:noProof/>
          <w:lang w:eastAsia="en-US"/>
        </w:rPr>
        <w:t xml:space="preserve">izračuna se omjer prethodno izračunatoga ukupnog kamatnog troška i prosječnog stanja izvora sredstava, te se taj omjer podijeli s ukupnim brojem dana u cijelom periodu i pomnoži s 365 (ili 366 ako referentni period </w:t>
      </w:r>
      <w:r w:rsidR="00C20BA7">
        <w:rPr>
          <w:rFonts w:eastAsia="Calibri"/>
          <w:noProof/>
          <w:lang w:eastAsia="en-US"/>
        </w:rPr>
        <w:t xml:space="preserve">obuhvata </w:t>
      </w:r>
      <w:r>
        <w:rPr>
          <w:rFonts w:eastAsia="Calibri"/>
          <w:noProof/>
          <w:lang w:eastAsia="en-US"/>
        </w:rPr>
        <w:t xml:space="preserve">februar prijestupne godine), kako bi se dobio RSTF izražen na </w:t>
      </w:r>
      <w:r w:rsidR="00C20BA7">
        <w:rPr>
          <w:rFonts w:eastAsia="Calibri"/>
          <w:noProof/>
          <w:lang w:eastAsia="en-US"/>
        </w:rPr>
        <w:t>godišnjem nivou</w:t>
      </w:r>
      <w:r>
        <w:rPr>
          <w:rFonts w:eastAsia="Calibri"/>
          <w:noProof/>
          <w:lang w:eastAsia="en-US"/>
        </w:rPr>
        <w:t>.</w:t>
      </w:r>
    </w:p>
    <w:p w14:paraId="108BB4A9" w14:textId="77777777" w:rsidR="00EE4BFE" w:rsidRDefault="006C7731">
      <w:pPr>
        <w:spacing w:after="160" w:line="240" w:lineRule="auto"/>
        <w:jc w:val="both"/>
        <w:rPr>
          <w:rFonts w:eastAsia="Calibri"/>
          <w:noProof/>
          <w:lang w:eastAsia="en-US"/>
        </w:rPr>
      </w:pPr>
      <w:r>
        <w:rPr>
          <w:rFonts w:eastAsia="Calibri"/>
          <w:noProof/>
          <w:lang w:eastAsia="en-US"/>
        </w:rPr>
        <w:t>Stopa izražena u postotku dobije se kada se izračunati RSTF pod c) pomnoži sa 100.</w:t>
      </w:r>
    </w:p>
    <w:p w14:paraId="5A9E6579" w14:textId="77777777" w:rsidR="00EE4BFE" w:rsidRDefault="006C7731">
      <w:pPr>
        <w:spacing w:after="160" w:line="240" w:lineRule="auto"/>
        <w:jc w:val="both"/>
        <w:rPr>
          <w:rFonts w:eastAsia="Calibri"/>
          <w:noProof/>
          <w:lang w:eastAsia="en-US"/>
        </w:rPr>
      </w:pPr>
      <w:r>
        <w:rPr>
          <w:rFonts w:eastAsia="Calibri"/>
          <w:noProof/>
          <w:lang w:eastAsia="en-US"/>
        </w:rPr>
        <w:t>RSTF se računa prema sljedećoj generičkoj formuli:</w:t>
      </w:r>
    </w:p>
    <w:p w14:paraId="09A7C800" w14:textId="77777777" w:rsidR="00EE4BFE" w:rsidRDefault="00EE4BFE">
      <w:pPr>
        <w:spacing w:after="160" w:line="240" w:lineRule="auto"/>
        <w:ind w:left="360"/>
        <w:contextualSpacing/>
        <w:jc w:val="both"/>
        <w:rPr>
          <w:rFonts w:eastAsia="Calibri"/>
          <w:noProof/>
          <w:lang w:eastAsia="en-US"/>
        </w:rPr>
      </w:pPr>
    </w:p>
    <w:p w14:paraId="04B050D7" w14:textId="1631D03C" w:rsidR="00EE4BFE" w:rsidRDefault="0021767C">
      <w:pPr>
        <w:spacing w:after="160" w:line="240" w:lineRule="auto"/>
        <w:ind w:left="360"/>
        <w:contextualSpacing/>
        <w:jc w:val="both"/>
        <w:rPr>
          <w:rFonts w:eastAsia="Calibri"/>
          <w:noProof/>
          <w:lang w:eastAsia="en-US"/>
        </w:rPr>
      </w:pPr>
      <w:r w:rsidRPr="0021767C">
        <w:rPr>
          <w:rFonts w:eastAsia="Calibri"/>
          <w:noProof/>
        </w:rPr>
        <w:drawing>
          <wp:inline distT="0" distB="0" distL="0" distR="0" wp14:anchorId="748B79BA" wp14:editId="465DC3EA">
            <wp:extent cx="4436745" cy="6362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6745" cy="636270"/>
                    </a:xfrm>
                    <a:prstGeom prst="rect">
                      <a:avLst/>
                    </a:prstGeom>
                    <a:noFill/>
                    <a:ln>
                      <a:noFill/>
                    </a:ln>
                  </pic:spPr>
                </pic:pic>
              </a:graphicData>
            </a:graphic>
          </wp:inline>
        </w:drawing>
      </w:r>
    </w:p>
    <w:p w14:paraId="7B19FB5A" w14:textId="77777777" w:rsidR="00EE4BFE" w:rsidRDefault="00EE4BFE">
      <w:pPr>
        <w:spacing w:after="160" w:line="259" w:lineRule="auto"/>
        <w:jc w:val="both"/>
        <w:rPr>
          <w:rFonts w:eastAsia="Calibri"/>
          <w:noProof/>
          <w:lang w:eastAsia="en-US"/>
        </w:rPr>
      </w:pPr>
    </w:p>
    <w:p w14:paraId="2ECCB531" w14:textId="078875EE" w:rsidR="00EE4BFE" w:rsidRDefault="00C20BA7">
      <w:pPr>
        <w:spacing w:after="160" w:line="259" w:lineRule="auto"/>
        <w:jc w:val="both"/>
        <w:rPr>
          <w:rFonts w:eastAsia="Calibri"/>
          <w:noProof/>
          <w:lang w:eastAsia="en-US"/>
        </w:rPr>
      </w:pPr>
      <w:r>
        <w:rPr>
          <w:rFonts w:eastAsia="Calibri"/>
          <w:noProof/>
          <w:lang w:eastAsia="en-US"/>
        </w:rPr>
        <w:t xml:space="preserve">pri čemu su </w:t>
      </w:r>
      <w:r w:rsidR="006C7731">
        <w:rPr>
          <w:rFonts w:eastAsia="Calibri"/>
          <w:noProof/>
          <w:lang w:eastAsia="en-US"/>
        </w:rPr>
        <w:t xml:space="preserve">su: </w:t>
      </w:r>
    </w:p>
    <w:p w14:paraId="7E4FD843" w14:textId="1920D486" w:rsidR="00EE4BFE" w:rsidRDefault="006C7731">
      <w:pPr>
        <w:spacing w:after="160" w:line="240" w:lineRule="auto"/>
        <w:contextualSpacing/>
        <w:jc w:val="both"/>
        <w:rPr>
          <w:rFonts w:eastAsia="Calibri"/>
          <w:noProof/>
          <w:lang w:eastAsia="en-US"/>
        </w:rPr>
      </w:pPr>
      <w:r>
        <w:rPr>
          <w:rFonts w:eastAsia="Calibri"/>
          <w:noProof/>
          <w:lang w:eastAsia="en-US"/>
        </w:rPr>
        <w:t xml:space="preserve">N </w:t>
      </w:r>
      <w:r w:rsidR="00C20BA7">
        <w:rPr>
          <w:rFonts w:eastAsia="Calibri"/>
          <w:bCs/>
          <w:noProof/>
          <w:lang w:eastAsia="en-US"/>
        </w:rPr>
        <w:t>‒</w:t>
      </w:r>
      <w:r>
        <w:rPr>
          <w:rFonts w:eastAsia="Calibri"/>
          <w:noProof/>
          <w:lang w:eastAsia="en-US"/>
        </w:rPr>
        <w:t xml:space="preserve"> broj mjeseci za koje se RSTF računa (3, 6 ili 12), </w:t>
      </w:r>
    </w:p>
    <w:p w14:paraId="58287CC6" w14:textId="1B85E0D7" w:rsidR="00EE4BFE" w:rsidRDefault="006C7731">
      <w:pPr>
        <w:spacing w:after="160" w:line="240" w:lineRule="auto"/>
        <w:contextualSpacing/>
        <w:jc w:val="both"/>
        <w:rPr>
          <w:rFonts w:eastAsia="Calibri"/>
          <w:noProof/>
          <w:lang w:eastAsia="en-US"/>
        </w:rPr>
      </w:pPr>
      <w:r>
        <w:rPr>
          <w:rFonts w:eastAsia="Calibri"/>
          <w:noProof/>
          <w:lang w:eastAsia="en-US"/>
        </w:rPr>
        <w:t xml:space="preserve">O </w:t>
      </w:r>
      <w:r w:rsidR="00C20BA7">
        <w:rPr>
          <w:rFonts w:eastAsia="Calibri"/>
          <w:bCs/>
          <w:noProof/>
          <w:lang w:eastAsia="en-US"/>
        </w:rPr>
        <w:t>‒</w:t>
      </w:r>
      <w:r>
        <w:rPr>
          <w:rFonts w:eastAsia="Calibri"/>
          <w:noProof/>
          <w:lang w:eastAsia="en-US"/>
        </w:rPr>
        <w:t xml:space="preserve"> obuhvat izvora sredstava i troškova (1, 2 ili 3), </w:t>
      </w:r>
    </w:p>
    <w:p w14:paraId="24478A47" w14:textId="7A0F4882" w:rsidR="00EE4BFE" w:rsidRDefault="006C7731">
      <w:pPr>
        <w:spacing w:after="160" w:line="240" w:lineRule="auto"/>
        <w:contextualSpacing/>
        <w:jc w:val="both"/>
        <w:rPr>
          <w:rFonts w:eastAsia="Calibri"/>
          <w:noProof/>
          <w:lang w:eastAsia="en-US"/>
        </w:rPr>
      </w:pPr>
      <w:r>
        <w:rPr>
          <w:rFonts w:eastAsia="Calibri"/>
          <w:noProof/>
          <w:lang w:eastAsia="en-US"/>
        </w:rPr>
        <w:t xml:space="preserve">V </w:t>
      </w:r>
      <w:r w:rsidR="00C20BA7">
        <w:rPr>
          <w:rFonts w:eastAsia="Calibri"/>
          <w:bCs/>
          <w:noProof/>
          <w:lang w:eastAsia="en-US"/>
        </w:rPr>
        <w:t>‒</w:t>
      </w:r>
      <w:r>
        <w:rPr>
          <w:rFonts w:eastAsia="Calibri"/>
          <w:noProof/>
          <w:lang w:eastAsia="en-US"/>
        </w:rPr>
        <w:t xml:space="preserve"> valuta izvora sredstava i troškova (KM ili EUR)</w:t>
      </w:r>
      <w:r w:rsidR="00C20BA7">
        <w:rPr>
          <w:rFonts w:eastAsia="Calibri"/>
          <w:noProof/>
          <w:lang w:eastAsia="en-US"/>
        </w:rPr>
        <w:t>,</w:t>
      </w:r>
    </w:p>
    <w:p w14:paraId="6790912B" w14:textId="77777777" w:rsidR="00EE4BFE" w:rsidRDefault="006C7731">
      <w:pPr>
        <w:spacing w:after="160" w:line="240" w:lineRule="auto"/>
        <w:contextualSpacing/>
        <w:jc w:val="both"/>
        <w:rPr>
          <w:rFonts w:eastAsia="Calibri"/>
          <w:noProof/>
          <w:lang w:eastAsia="en-US"/>
        </w:rPr>
      </w:pPr>
      <w:r>
        <w:rPr>
          <w:rFonts w:eastAsia="Calibri"/>
          <w:noProof/>
          <w:lang w:eastAsia="en-US"/>
        </w:rPr>
        <w:t>Prosjek stanja izvora sredstava</w:t>
      </w:r>
      <w:r w:rsidR="00C20BA7">
        <w:rPr>
          <w:rFonts w:eastAsia="Calibri"/>
          <w:noProof/>
          <w:lang w:eastAsia="en-US"/>
        </w:rPr>
        <w:t xml:space="preserve"> </w:t>
      </w:r>
      <w:r w:rsidR="00C20BA7">
        <w:rPr>
          <w:rFonts w:eastAsia="Calibri"/>
          <w:bCs/>
          <w:noProof/>
          <w:lang w:eastAsia="en-US"/>
        </w:rPr>
        <w:t>‒</w:t>
      </w:r>
      <w:r>
        <w:rPr>
          <w:rFonts w:eastAsia="Calibri"/>
          <w:noProof/>
          <w:lang w:eastAsia="en-US"/>
        </w:rPr>
        <w:t xml:space="preserve"> aritmetička sredina odgovarajućih podataka (posljednjih N mjeseci), </w:t>
      </w:r>
    </w:p>
    <w:p w14:paraId="301E147C" w14:textId="375D8A1B" w:rsidR="00EE4BFE" w:rsidRDefault="006C7731">
      <w:pPr>
        <w:spacing w:after="160" w:line="240" w:lineRule="auto"/>
        <w:contextualSpacing/>
        <w:jc w:val="both"/>
        <w:rPr>
          <w:rFonts w:eastAsia="Calibri"/>
          <w:noProof/>
          <w:lang w:eastAsia="en-US"/>
        </w:rPr>
      </w:pPr>
      <w:r>
        <w:rPr>
          <w:rFonts w:eastAsia="Calibri"/>
          <w:noProof/>
          <w:lang w:eastAsia="en-US"/>
        </w:rPr>
        <w:t>Ukupni troškovi</w:t>
      </w:r>
      <w:r w:rsidR="00C20BA7">
        <w:rPr>
          <w:rFonts w:eastAsia="Calibri"/>
          <w:noProof/>
          <w:lang w:eastAsia="en-US"/>
        </w:rPr>
        <w:t xml:space="preserve"> </w:t>
      </w:r>
      <w:r w:rsidR="00C20BA7">
        <w:rPr>
          <w:rFonts w:eastAsia="Calibri"/>
          <w:bCs/>
          <w:noProof/>
          <w:lang w:eastAsia="en-US"/>
        </w:rPr>
        <w:t>‒</w:t>
      </w:r>
      <w:r>
        <w:rPr>
          <w:rFonts w:eastAsia="Calibri"/>
          <w:noProof/>
          <w:lang w:eastAsia="en-US"/>
        </w:rPr>
        <w:t xml:space="preserve"> zbir odgovarajućih podataka (posljednjih N/3 kvartala) iz bilansa </w:t>
      </w:r>
      <w:r w:rsidR="00C20BA7">
        <w:rPr>
          <w:rFonts w:eastAsia="Calibri"/>
          <w:noProof/>
          <w:lang w:eastAsia="en-US"/>
        </w:rPr>
        <w:t>uspjeha</w:t>
      </w:r>
      <w:r>
        <w:rPr>
          <w:rFonts w:eastAsia="Calibri"/>
          <w:noProof/>
          <w:lang w:eastAsia="en-US"/>
        </w:rPr>
        <w:t xml:space="preserve">, </w:t>
      </w:r>
    </w:p>
    <w:p w14:paraId="0D04A82D" w14:textId="1A87F06C" w:rsidR="00EE4BFE" w:rsidRDefault="006C7731">
      <w:pPr>
        <w:spacing w:after="160" w:line="240" w:lineRule="auto"/>
        <w:jc w:val="both"/>
        <w:rPr>
          <w:rFonts w:eastAsia="Calibri"/>
          <w:noProof/>
          <w:lang w:eastAsia="en-US"/>
        </w:rPr>
      </w:pPr>
      <w:r>
        <w:rPr>
          <w:rFonts w:eastAsia="Calibri"/>
          <w:noProof/>
          <w:lang w:eastAsia="en-US"/>
        </w:rPr>
        <w:t xml:space="preserve">Broj dana (N) </w:t>
      </w:r>
      <w:r w:rsidR="00C20BA7">
        <w:rPr>
          <w:rFonts w:eastAsia="Calibri"/>
          <w:bCs/>
          <w:noProof/>
          <w:lang w:eastAsia="en-US"/>
        </w:rPr>
        <w:t>‒</w:t>
      </w:r>
      <w:r>
        <w:rPr>
          <w:rFonts w:eastAsia="Calibri"/>
          <w:noProof/>
          <w:lang w:eastAsia="en-US"/>
        </w:rPr>
        <w:t xml:space="preserve"> stvarni broj dana u posljednjih N mjeseci.</w:t>
      </w:r>
    </w:p>
    <w:p w14:paraId="06B472A2" w14:textId="77777777" w:rsidR="00EE4BFE" w:rsidRDefault="006C7731">
      <w:pPr>
        <w:spacing w:after="160" w:line="240" w:lineRule="auto"/>
        <w:jc w:val="both"/>
        <w:rPr>
          <w:rFonts w:eastAsia="Calibri"/>
          <w:noProof/>
          <w:lang w:eastAsia="en-US"/>
        </w:rPr>
      </w:pPr>
      <w:r>
        <w:rPr>
          <w:rFonts w:eastAsia="Calibri"/>
          <w:noProof/>
          <w:lang w:eastAsia="en-US"/>
        </w:rPr>
        <w:lastRenderedPageBreak/>
        <w:t>Izračun RSTF-a obavlja se primjenom konvencije stvarnoga broja dana, a u svakom koraku izračuna svi brojevi iskazuju se na dvije decimale. Da bi se dobila stopa izražena u postotku, ovaj iznos množi se sa 100.</w:t>
      </w:r>
    </w:p>
    <w:p w14:paraId="539E71BD" w14:textId="77777777" w:rsidR="00EE4BFE" w:rsidRDefault="00EE4BFE">
      <w:pPr>
        <w:spacing w:line="240" w:lineRule="auto"/>
        <w:jc w:val="center"/>
        <w:rPr>
          <w:b/>
          <w:bCs/>
          <w:noProof/>
          <w:lang w:eastAsia="en-US"/>
        </w:rPr>
      </w:pPr>
    </w:p>
    <w:p w14:paraId="007E450B" w14:textId="77777777" w:rsidR="00EE4BFE" w:rsidRDefault="00EE4BFE">
      <w:pPr>
        <w:spacing w:line="240" w:lineRule="auto"/>
        <w:jc w:val="center"/>
        <w:rPr>
          <w:b/>
          <w:bCs/>
          <w:noProof/>
          <w:lang w:eastAsia="en-US"/>
        </w:rPr>
      </w:pPr>
    </w:p>
    <w:p w14:paraId="072B6142" w14:textId="77777777" w:rsidR="00EE4BFE" w:rsidRDefault="006C7731">
      <w:pPr>
        <w:spacing w:line="240" w:lineRule="auto"/>
        <w:contextualSpacing/>
        <w:jc w:val="center"/>
        <w:rPr>
          <w:b/>
          <w:bCs/>
          <w:noProof/>
          <w:lang w:eastAsia="en-US"/>
        </w:rPr>
      </w:pPr>
      <w:r>
        <w:rPr>
          <w:b/>
          <w:bCs/>
          <w:noProof/>
          <w:lang w:eastAsia="en-US"/>
        </w:rPr>
        <w:t>Član 7</w:t>
      </w:r>
      <w:r w:rsidR="00C20BA7">
        <w:rPr>
          <w:b/>
          <w:bCs/>
          <w:noProof/>
          <w:lang w:eastAsia="en-US"/>
        </w:rPr>
        <w:t>.</w:t>
      </w:r>
    </w:p>
    <w:p w14:paraId="263EE58A" w14:textId="77777777" w:rsidR="00EE4BFE" w:rsidRDefault="006C7731">
      <w:pPr>
        <w:spacing w:line="240" w:lineRule="auto"/>
        <w:contextualSpacing/>
        <w:jc w:val="center"/>
        <w:rPr>
          <w:b/>
          <w:bCs/>
          <w:noProof/>
          <w:lang w:eastAsia="en-US"/>
        </w:rPr>
      </w:pPr>
      <w:r>
        <w:rPr>
          <w:b/>
          <w:bCs/>
          <w:noProof/>
          <w:lang w:eastAsia="en-US"/>
        </w:rPr>
        <w:t>(Objava)</w:t>
      </w:r>
    </w:p>
    <w:p w14:paraId="55F8A5D4" w14:textId="77777777" w:rsidR="00EE4BFE" w:rsidRDefault="00EE4BFE">
      <w:pPr>
        <w:spacing w:line="240" w:lineRule="auto"/>
        <w:contextualSpacing/>
        <w:jc w:val="center"/>
        <w:rPr>
          <w:b/>
          <w:bCs/>
          <w:noProof/>
          <w:lang w:eastAsia="en-US"/>
        </w:rPr>
      </w:pPr>
    </w:p>
    <w:p w14:paraId="3EFE8B2C" w14:textId="77777777" w:rsidR="00EE4BFE" w:rsidRDefault="006C7731">
      <w:pPr>
        <w:spacing w:line="240" w:lineRule="auto"/>
        <w:contextualSpacing/>
        <w:jc w:val="both"/>
        <w:rPr>
          <w:noProof/>
          <w:lang w:eastAsia="en-US"/>
        </w:rPr>
      </w:pPr>
      <w:r>
        <w:rPr>
          <w:noProof/>
          <w:lang w:eastAsia="en-US"/>
        </w:rPr>
        <w:t xml:space="preserve">CBBiH će na svojoj internetskoj stranici objaviti ovu </w:t>
      </w:r>
      <w:r w:rsidR="00B52FA6">
        <w:rPr>
          <w:noProof/>
          <w:lang w:eastAsia="en-US"/>
        </w:rPr>
        <w:t xml:space="preserve">metodologiju </w:t>
      </w:r>
      <w:r>
        <w:rPr>
          <w:noProof/>
          <w:lang w:eastAsia="en-US"/>
        </w:rPr>
        <w:t xml:space="preserve">i sve naknadne, eventualne izmjene i dopune Metodologije. </w:t>
      </w:r>
    </w:p>
    <w:p w14:paraId="462DEE5A" w14:textId="77777777" w:rsidR="00EE4BFE" w:rsidRDefault="00EE4BFE">
      <w:pPr>
        <w:pStyle w:val="CommentText"/>
        <w:spacing w:line="240" w:lineRule="auto"/>
        <w:jc w:val="both"/>
        <w:rPr>
          <w:noProof/>
          <w:sz w:val="24"/>
          <w:szCs w:val="24"/>
          <w:lang w:eastAsia="en-US"/>
        </w:rPr>
      </w:pPr>
    </w:p>
    <w:p w14:paraId="6B1DC497" w14:textId="3400BF45" w:rsidR="00EE4BFE" w:rsidRDefault="00B52FA6">
      <w:pPr>
        <w:pStyle w:val="CommentText"/>
        <w:spacing w:line="240" w:lineRule="auto"/>
        <w:jc w:val="both"/>
        <w:rPr>
          <w:noProof/>
          <w:sz w:val="24"/>
          <w:szCs w:val="24"/>
          <w:lang w:eastAsia="en-US"/>
        </w:rPr>
      </w:pPr>
      <w:r>
        <w:rPr>
          <w:noProof/>
          <w:sz w:val="24"/>
          <w:szCs w:val="24"/>
          <w:lang w:eastAsia="en-US"/>
        </w:rPr>
        <w:t xml:space="preserve">Na osnovu </w:t>
      </w:r>
      <w:r w:rsidR="006C7731">
        <w:rPr>
          <w:noProof/>
          <w:sz w:val="24"/>
          <w:szCs w:val="24"/>
          <w:lang w:eastAsia="en-US"/>
        </w:rPr>
        <w:t xml:space="preserve">podataka koje, u dogovorenom formatu i prema dogovorenoj dinamici, dostavljaju FBA i ABRS, CBBiH objavljuje agregirane podatke za izračun RSTF3 (agregirani podaci o troškovima izvora finansiranja i agregirani podaci o izvorima finansiranja na koje se ti troškovi odnose), te izračunate RSTF3 za referentni kvartal na svojoj </w:t>
      </w:r>
      <w:r w:rsidR="006C7731" w:rsidRPr="00B20EFD">
        <w:rPr>
          <w:i/>
          <w:noProof/>
          <w:sz w:val="24"/>
          <w:szCs w:val="24"/>
          <w:lang w:eastAsia="en-US"/>
        </w:rPr>
        <w:t>web</w:t>
      </w:r>
      <w:r>
        <w:rPr>
          <w:noProof/>
          <w:sz w:val="24"/>
          <w:szCs w:val="24"/>
          <w:lang w:eastAsia="en-US"/>
        </w:rPr>
        <w:t>-</w:t>
      </w:r>
      <w:r w:rsidR="006C7731">
        <w:rPr>
          <w:noProof/>
          <w:sz w:val="24"/>
          <w:szCs w:val="24"/>
          <w:lang w:eastAsia="en-US"/>
        </w:rPr>
        <w:t>stranici</w:t>
      </w:r>
      <w:r w:rsidR="0025036A">
        <w:rPr>
          <w:noProof/>
          <w:sz w:val="24"/>
          <w:szCs w:val="24"/>
          <w:lang w:eastAsia="en-US"/>
        </w:rPr>
        <w:t>.</w:t>
      </w:r>
    </w:p>
    <w:p w14:paraId="700BC326" w14:textId="77777777" w:rsidR="00EE4BFE" w:rsidRDefault="00EE4BFE">
      <w:pPr>
        <w:pStyle w:val="CommentText"/>
        <w:spacing w:line="240" w:lineRule="auto"/>
        <w:jc w:val="both"/>
        <w:rPr>
          <w:noProof/>
          <w:sz w:val="24"/>
          <w:szCs w:val="24"/>
          <w:lang w:eastAsia="en-US"/>
        </w:rPr>
      </w:pPr>
    </w:p>
    <w:p w14:paraId="0E4A7109" w14:textId="5DCA75AE" w:rsidR="00EE4BFE" w:rsidRDefault="00B52FA6">
      <w:pPr>
        <w:pStyle w:val="CommentText"/>
        <w:spacing w:line="240" w:lineRule="auto"/>
        <w:jc w:val="both"/>
        <w:rPr>
          <w:noProof/>
          <w:sz w:val="24"/>
          <w:szCs w:val="24"/>
          <w:lang w:eastAsia="en-US"/>
        </w:rPr>
      </w:pPr>
      <w:r>
        <w:rPr>
          <w:noProof/>
          <w:sz w:val="24"/>
          <w:szCs w:val="24"/>
          <w:lang w:eastAsia="en-US"/>
        </w:rPr>
        <w:t xml:space="preserve">S obzirom na to </w:t>
      </w:r>
      <w:r w:rsidR="006C7731">
        <w:rPr>
          <w:noProof/>
          <w:sz w:val="24"/>
          <w:szCs w:val="24"/>
          <w:lang w:eastAsia="en-US"/>
        </w:rPr>
        <w:t xml:space="preserve">da je RSTF statistički pokazatelj, za analitičke potrebe CBBiH, FBA i ABRS računaju </w:t>
      </w:r>
      <w:r>
        <w:rPr>
          <w:noProof/>
          <w:sz w:val="24"/>
          <w:szCs w:val="24"/>
          <w:lang w:eastAsia="en-US"/>
        </w:rPr>
        <w:t xml:space="preserve">se sva </w:t>
      </w:r>
      <w:r w:rsidR="006C7731">
        <w:rPr>
          <w:noProof/>
          <w:sz w:val="24"/>
          <w:szCs w:val="24"/>
          <w:lang w:eastAsia="en-US"/>
        </w:rPr>
        <w:t>tri RSTF</w:t>
      </w:r>
      <w:r>
        <w:rPr>
          <w:noProof/>
          <w:sz w:val="24"/>
          <w:szCs w:val="24"/>
          <w:lang w:eastAsia="en-US"/>
        </w:rPr>
        <w:t>-a</w:t>
      </w:r>
      <w:r w:rsidR="006C7731">
        <w:rPr>
          <w:noProof/>
          <w:sz w:val="24"/>
          <w:szCs w:val="24"/>
          <w:lang w:eastAsia="en-US"/>
        </w:rPr>
        <w:t xml:space="preserve">, dok se za </w:t>
      </w:r>
      <w:r>
        <w:rPr>
          <w:noProof/>
          <w:sz w:val="24"/>
          <w:szCs w:val="24"/>
          <w:lang w:eastAsia="en-US"/>
        </w:rPr>
        <w:t xml:space="preserve">potrebe </w:t>
      </w:r>
      <w:r w:rsidR="006C7731">
        <w:rPr>
          <w:noProof/>
          <w:sz w:val="24"/>
          <w:szCs w:val="24"/>
          <w:lang w:eastAsia="en-US"/>
        </w:rPr>
        <w:t xml:space="preserve">korištenja od strane banaka </w:t>
      </w:r>
      <w:r>
        <w:rPr>
          <w:noProof/>
          <w:sz w:val="24"/>
          <w:szCs w:val="24"/>
          <w:lang w:eastAsia="en-US"/>
        </w:rPr>
        <w:t xml:space="preserve">objavljuje </w:t>
      </w:r>
      <w:r w:rsidR="006C7731">
        <w:rPr>
          <w:noProof/>
          <w:sz w:val="24"/>
          <w:szCs w:val="24"/>
          <w:lang w:eastAsia="en-US"/>
        </w:rPr>
        <w:t xml:space="preserve">samo RSTF3 za dvije valute (KM i EUR) prema </w:t>
      </w:r>
      <w:r>
        <w:rPr>
          <w:noProof/>
          <w:sz w:val="24"/>
          <w:szCs w:val="24"/>
          <w:lang w:eastAsia="en-US"/>
        </w:rPr>
        <w:t xml:space="preserve">definiranim </w:t>
      </w:r>
      <w:r w:rsidR="006C7731">
        <w:rPr>
          <w:noProof/>
          <w:sz w:val="24"/>
          <w:szCs w:val="24"/>
          <w:lang w:eastAsia="en-US"/>
        </w:rPr>
        <w:t xml:space="preserve">periodima </w:t>
      </w:r>
      <w:r>
        <w:rPr>
          <w:noProof/>
          <w:sz w:val="24"/>
          <w:szCs w:val="24"/>
          <w:lang w:eastAsia="en-US"/>
        </w:rPr>
        <w:t xml:space="preserve">od </w:t>
      </w:r>
      <w:r w:rsidR="006C7731">
        <w:rPr>
          <w:noProof/>
          <w:sz w:val="24"/>
          <w:szCs w:val="24"/>
          <w:lang w:eastAsia="en-US"/>
        </w:rPr>
        <w:t>3, 6 i 12 mjeseci. Podaci i referentne stope objavljuju</w:t>
      </w:r>
      <w:r>
        <w:rPr>
          <w:noProof/>
          <w:sz w:val="24"/>
          <w:szCs w:val="24"/>
          <w:lang w:eastAsia="en-US"/>
        </w:rPr>
        <w:t xml:space="preserve"> se</w:t>
      </w:r>
      <w:r w:rsidR="006C7731">
        <w:rPr>
          <w:noProof/>
          <w:sz w:val="24"/>
          <w:szCs w:val="24"/>
          <w:lang w:eastAsia="en-US"/>
        </w:rPr>
        <w:t xml:space="preserve"> kvartalno, najkasnije 45 dana po isteku kvartala. </w:t>
      </w:r>
    </w:p>
    <w:p w14:paraId="58DF0CDB" w14:textId="77777777" w:rsidR="00EE4BFE" w:rsidRDefault="00EE4BFE">
      <w:pPr>
        <w:spacing w:after="160" w:line="240" w:lineRule="auto"/>
        <w:contextualSpacing/>
        <w:jc w:val="both"/>
        <w:rPr>
          <w:noProof/>
          <w:lang w:eastAsia="en-US"/>
        </w:rPr>
      </w:pPr>
    </w:p>
    <w:p w14:paraId="7FFD1C4D" w14:textId="77777777" w:rsidR="00EE4BFE" w:rsidRDefault="006C7731">
      <w:pPr>
        <w:spacing w:after="160" w:line="240" w:lineRule="auto"/>
        <w:contextualSpacing/>
        <w:jc w:val="both"/>
        <w:rPr>
          <w:noProof/>
          <w:lang w:eastAsia="en-US"/>
        </w:rPr>
      </w:pPr>
      <w:r>
        <w:rPr>
          <w:noProof/>
          <w:lang w:eastAsia="en-US"/>
        </w:rPr>
        <w:t xml:space="preserve">Metodologija je prikladna za primjenu na entitetskom nivou i FBA i ABRS imaju mogućnost da izračunaju RSTF na entitetskom nivou, na osnovu podataka za banke iz pripadajućeg entiteta.  </w:t>
      </w:r>
    </w:p>
    <w:p w14:paraId="2C33A1A5" w14:textId="77777777" w:rsidR="006C7731" w:rsidRDefault="006C7731">
      <w:pPr>
        <w:spacing w:line="240" w:lineRule="auto"/>
        <w:contextualSpacing/>
        <w:jc w:val="center"/>
        <w:rPr>
          <w:b/>
        </w:rPr>
      </w:pPr>
    </w:p>
    <w:p w14:paraId="53CD1187" w14:textId="77777777" w:rsidR="00EE4BFE" w:rsidRDefault="006C7731">
      <w:pPr>
        <w:spacing w:line="240" w:lineRule="auto"/>
        <w:contextualSpacing/>
        <w:jc w:val="center"/>
        <w:rPr>
          <w:b/>
        </w:rPr>
      </w:pPr>
      <w:r>
        <w:rPr>
          <w:b/>
        </w:rPr>
        <w:t>Član 8</w:t>
      </w:r>
      <w:r w:rsidR="00B52FA6">
        <w:rPr>
          <w:b/>
        </w:rPr>
        <w:t>.</w:t>
      </w:r>
    </w:p>
    <w:p w14:paraId="7D265908" w14:textId="77777777" w:rsidR="00EE4BFE" w:rsidRDefault="006C7731">
      <w:pPr>
        <w:spacing w:line="240" w:lineRule="auto"/>
        <w:contextualSpacing/>
        <w:jc w:val="center"/>
        <w:rPr>
          <w:b/>
        </w:rPr>
      </w:pPr>
      <w:r>
        <w:rPr>
          <w:b/>
        </w:rPr>
        <w:t xml:space="preserve">(Saradnja </w:t>
      </w:r>
      <w:bookmarkStart w:id="10" w:name="_Hlk138945000"/>
      <w:r>
        <w:rPr>
          <w:b/>
        </w:rPr>
        <w:t>agencija za bankarstvo i CBBiH</w:t>
      </w:r>
      <w:bookmarkEnd w:id="10"/>
      <w:r>
        <w:rPr>
          <w:b/>
        </w:rPr>
        <w:t>)</w:t>
      </w:r>
    </w:p>
    <w:p w14:paraId="433284D0" w14:textId="77777777" w:rsidR="00EE4BFE" w:rsidRDefault="00EE4BFE">
      <w:pPr>
        <w:spacing w:line="240" w:lineRule="auto"/>
        <w:contextualSpacing/>
        <w:jc w:val="center"/>
        <w:rPr>
          <w:b/>
          <w:bCs/>
          <w:noProof/>
          <w:lang w:eastAsia="en-US"/>
        </w:rPr>
      </w:pPr>
    </w:p>
    <w:p w14:paraId="041DF19D" w14:textId="3B11716C" w:rsidR="00EE4BFE" w:rsidRDefault="006C7731">
      <w:pPr>
        <w:spacing w:line="240" w:lineRule="auto"/>
        <w:contextualSpacing/>
        <w:jc w:val="both"/>
      </w:pPr>
      <w:r>
        <w:t xml:space="preserve">Saradnja se odvija </w:t>
      </w:r>
      <w:r w:rsidR="00B52FA6">
        <w:t xml:space="preserve">na osnovu </w:t>
      </w:r>
      <w:r>
        <w:t>Memoranduma o principima koordinacije bankarske supervizije i saradnji i razmjeni podataka i informacija zaključenom između CBBiH, FBA i ABRS</w:t>
      </w:r>
      <w:r w:rsidR="00B52FA6">
        <w:t>-a</w:t>
      </w:r>
      <w:r>
        <w:t xml:space="preserve"> broj: 01-897/08, broj: 01-2-1170/08 i broj: 01-691. </w:t>
      </w:r>
    </w:p>
    <w:p w14:paraId="0BCAC38B" w14:textId="77777777" w:rsidR="00EE4BFE" w:rsidRDefault="00EE4BFE">
      <w:pPr>
        <w:spacing w:line="240" w:lineRule="auto"/>
        <w:contextualSpacing/>
        <w:jc w:val="both"/>
      </w:pPr>
    </w:p>
    <w:p w14:paraId="7CBC651D" w14:textId="009FA2FC" w:rsidR="00EE4BFE" w:rsidRDefault="006C7731">
      <w:pPr>
        <w:spacing w:line="240" w:lineRule="auto"/>
        <w:contextualSpacing/>
        <w:jc w:val="both"/>
      </w:pPr>
      <w:r>
        <w:t>CBBiH će</w:t>
      </w:r>
      <w:r w:rsidR="00B52FA6">
        <w:t>,</w:t>
      </w:r>
      <w:r>
        <w:t xml:space="preserve"> u skladu s Metodologijom</w:t>
      </w:r>
      <w:r w:rsidR="00B52FA6">
        <w:t>,</w:t>
      </w:r>
      <w:r>
        <w:t xml:space="preserve"> </w:t>
      </w:r>
      <w:r w:rsidR="00B52FA6">
        <w:t>redovno</w:t>
      </w:r>
      <w:r>
        <w:t>, kvartalno, vršiti izračun odabranih RSTF</w:t>
      </w:r>
      <w:r w:rsidR="00B52FA6">
        <w:t>-</w:t>
      </w:r>
      <w:r w:rsidR="00EA7D35">
        <w:t>ov</w:t>
      </w:r>
      <w:r w:rsidR="00B52FA6">
        <w:t>a</w:t>
      </w:r>
      <w:r>
        <w:t>, nakon što joj budu dostavljeni podaci za kraj izvještajnog perioda. FBA i ABRS će CBBiH blagovremeno dostaviti sve neophodne podatke po pojedinačnim bankama za izračun RSTF</w:t>
      </w:r>
      <w:r w:rsidR="00B52FA6">
        <w:t>-a</w:t>
      </w:r>
      <w:r>
        <w:t xml:space="preserve"> na obrascu </w:t>
      </w:r>
      <w:bookmarkStart w:id="11" w:name="_Hlk132896399"/>
      <w:r>
        <w:t xml:space="preserve">koji su </w:t>
      </w:r>
      <w:r w:rsidR="00B52FA6">
        <w:t xml:space="preserve">definirale </w:t>
      </w:r>
      <w:r>
        <w:t>i usaglasile entitetske agencije za bankarstvo.</w:t>
      </w:r>
    </w:p>
    <w:p w14:paraId="627FFD86" w14:textId="77777777" w:rsidR="00EE4BFE" w:rsidRDefault="00EE4BFE">
      <w:pPr>
        <w:spacing w:line="240" w:lineRule="auto"/>
        <w:contextualSpacing/>
        <w:jc w:val="both"/>
      </w:pPr>
    </w:p>
    <w:bookmarkEnd w:id="11"/>
    <w:p w14:paraId="632DDE69" w14:textId="4D91CF98" w:rsidR="00EE4BFE" w:rsidRDefault="006C7731">
      <w:pPr>
        <w:spacing w:line="240" w:lineRule="auto"/>
        <w:contextualSpacing/>
        <w:jc w:val="both"/>
      </w:pPr>
      <w:r>
        <w:t xml:space="preserve">Banke su odgovorne za kontrolu i tačnost ulaznih podataka. U cilju </w:t>
      </w:r>
      <w:r w:rsidR="00B52FA6">
        <w:t xml:space="preserve">osiguravanja </w:t>
      </w:r>
      <w:r>
        <w:t>pouzdanosti ulaznih podatka korištenih za izračun RSFT</w:t>
      </w:r>
      <w:r w:rsidR="00B52FA6">
        <w:t>-a</w:t>
      </w:r>
      <w:r>
        <w:t>, entitetske agencije</w:t>
      </w:r>
      <w:r w:rsidR="00F04FC9">
        <w:t xml:space="preserve"> za bankarstvo</w:t>
      </w:r>
      <w:r>
        <w:t xml:space="preserve"> će uspostaviti proces logičke provjere podataka. Ako u trenutku izračuna podaci nedostaju, ne zadovoljavaju logičke kontrole ili je na drugi način upitna pouzdanost podataka, </w:t>
      </w:r>
      <w:r w:rsidR="00B52FA6">
        <w:t xml:space="preserve">upotrijebit će </w:t>
      </w:r>
      <w:r>
        <w:t>se odgovarajući podaci iz kvartala koji prethodi kvartalu izračuna.</w:t>
      </w:r>
    </w:p>
    <w:p w14:paraId="71BA4F16" w14:textId="77777777" w:rsidR="00EE4BFE" w:rsidRDefault="00EE4BFE">
      <w:pPr>
        <w:spacing w:line="240" w:lineRule="auto"/>
        <w:contextualSpacing/>
        <w:jc w:val="both"/>
      </w:pPr>
    </w:p>
    <w:p w14:paraId="1379033E" w14:textId="5992C288" w:rsidR="00EE4BFE" w:rsidRDefault="006C7731">
      <w:pPr>
        <w:spacing w:line="240" w:lineRule="auto"/>
        <w:contextualSpacing/>
        <w:jc w:val="both"/>
      </w:pPr>
      <w:r>
        <w:t xml:space="preserve">Saradnja između agencija za bankarstvo i CBBiH mora se odvijati tako da se vodi računa o zaštiti povjerljivosti podataka i svi potpisnici se obavezuju da će </w:t>
      </w:r>
      <w:r w:rsidR="00B52FA6">
        <w:t xml:space="preserve">ih </w:t>
      </w:r>
      <w:r>
        <w:t xml:space="preserve">čuvati kao poslovnu tajnu. </w:t>
      </w:r>
    </w:p>
    <w:p w14:paraId="247E2BEE" w14:textId="77777777" w:rsidR="00EE4BFE" w:rsidRDefault="00EE4BFE">
      <w:pPr>
        <w:spacing w:line="240" w:lineRule="auto"/>
        <w:contextualSpacing/>
        <w:jc w:val="center"/>
        <w:rPr>
          <w:b/>
          <w:bCs/>
          <w:noProof/>
          <w:lang w:eastAsia="en-US"/>
        </w:rPr>
      </w:pPr>
    </w:p>
    <w:p w14:paraId="17680B1A" w14:textId="77777777" w:rsidR="006C7731" w:rsidRDefault="006C7731">
      <w:pPr>
        <w:spacing w:line="240" w:lineRule="auto"/>
        <w:contextualSpacing/>
        <w:jc w:val="center"/>
        <w:rPr>
          <w:b/>
          <w:bCs/>
          <w:noProof/>
          <w:lang w:eastAsia="en-US"/>
        </w:rPr>
      </w:pPr>
    </w:p>
    <w:p w14:paraId="4D4382A5" w14:textId="77777777" w:rsidR="006C7731" w:rsidRDefault="006C7731" w:rsidP="009F1475">
      <w:pPr>
        <w:spacing w:line="240" w:lineRule="auto"/>
        <w:contextualSpacing/>
        <w:rPr>
          <w:b/>
          <w:bCs/>
          <w:noProof/>
          <w:lang w:eastAsia="en-US"/>
        </w:rPr>
      </w:pPr>
    </w:p>
    <w:p w14:paraId="6B827F7D" w14:textId="77777777" w:rsidR="00546ADD" w:rsidRDefault="00546ADD">
      <w:pPr>
        <w:spacing w:line="240" w:lineRule="auto"/>
        <w:contextualSpacing/>
        <w:jc w:val="center"/>
        <w:rPr>
          <w:b/>
          <w:bCs/>
          <w:noProof/>
          <w:lang w:eastAsia="en-US"/>
        </w:rPr>
      </w:pPr>
    </w:p>
    <w:p w14:paraId="31F7E29D" w14:textId="3895F270" w:rsidR="00EE4BFE" w:rsidRDefault="006C7731">
      <w:pPr>
        <w:spacing w:line="240" w:lineRule="auto"/>
        <w:contextualSpacing/>
        <w:jc w:val="center"/>
        <w:rPr>
          <w:b/>
          <w:bCs/>
          <w:noProof/>
          <w:lang w:eastAsia="en-US"/>
        </w:rPr>
      </w:pPr>
      <w:bookmarkStart w:id="12" w:name="_GoBack"/>
      <w:bookmarkEnd w:id="12"/>
      <w:r>
        <w:rPr>
          <w:b/>
          <w:bCs/>
          <w:noProof/>
          <w:lang w:eastAsia="en-US"/>
        </w:rPr>
        <w:lastRenderedPageBreak/>
        <w:t>Član 9</w:t>
      </w:r>
      <w:r w:rsidR="00B52FA6">
        <w:rPr>
          <w:b/>
          <w:bCs/>
          <w:noProof/>
          <w:lang w:eastAsia="en-US"/>
        </w:rPr>
        <w:t>.</w:t>
      </w:r>
    </w:p>
    <w:p w14:paraId="0DBD5F61" w14:textId="77777777" w:rsidR="00EE4BFE" w:rsidRDefault="006C7731">
      <w:pPr>
        <w:spacing w:line="240" w:lineRule="auto"/>
        <w:contextualSpacing/>
        <w:jc w:val="center"/>
        <w:rPr>
          <w:b/>
          <w:bCs/>
          <w:noProof/>
          <w:lang w:eastAsia="en-US"/>
        </w:rPr>
      </w:pPr>
      <w:r>
        <w:rPr>
          <w:b/>
          <w:bCs/>
          <w:noProof/>
          <w:lang w:eastAsia="en-US"/>
        </w:rPr>
        <w:t>(Završne odredbe)</w:t>
      </w:r>
    </w:p>
    <w:p w14:paraId="3500C483" w14:textId="77777777" w:rsidR="00EE4BFE" w:rsidRDefault="00EE4BFE">
      <w:pPr>
        <w:spacing w:line="240" w:lineRule="auto"/>
        <w:contextualSpacing/>
        <w:jc w:val="center"/>
        <w:rPr>
          <w:b/>
          <w:bCs/>
          <w:noProof/>
          <w:lang w:eastAsia="en-US"/>
        </w:rPr>
      </w:pPr>
    </w:p>
    <w:p w14:paraId="797F98DF" w14:textId="53F7D7C3" w:rsidR="00EE4BFE" w:rsidRDefault="006C7731">
      <w:pPr>
        <w:spacing w:line="240" w:lineRule="auto"/>
        <w:contextualSpacing/>
        <w:jc w:val="both"/>
      </w:pPr>
      <w:r>
        <w:t xml:space="preserve">Ova </w:t>
      </w:r>
      <w:r w:rsidR="00B52FA6">
        <w:t xml:space="preserve">metodologija </w:t>
      </w:r>
      <w:r>
        <w:t>podržana je na drugom sastanku Koordinacije bankarske supervizije održanom dana 29.06.2023. godine i može se mijenjati uz punu saglasnost CBBiH, FBA i ABRS</w:t>
      </w:r>
      <w:r w:rsidR="00B52FA6">
        <w:t>-a</w:t>
      </w:r>
      <w:r>
        <w:t xml:space="preserve">. Prestanak važenja Metodologije mora biti jasno i vidljivo </w:t>
      </w:r>
      <w:proofErr w:type="spellStart"/>
      <w:r>
        <w:t>iskomuniciran</w:t>
      </w:r>
      <w:proofErr w:type="spellEnd"/>
      <w:r>
        <w:t xml:space="preserve"> na </w:t>
      </w:r>
      <w:r w:rsidRPr="00B20EFD">
        <w:rPr>
          <w:i/>
        </w:rPr>
        <w:t>web</w:t>
      </w:r>
      <w:r w:rsidR="00B52FA6">
        <w:t>-</w:t>
      </w:r>
      <w:r>
        <w:t xml:space="preserve">stranici </w:t>
      </w:r>
      <w:proofErr w:type="spellStart"/>
      <w:r>
        <w:t>CBBiH</w:t>
      </w:r>
      <w:proofErr w:type="spellEnd"/>
      <w:r>
        <w:t>.</w:t>
      </w:r>
    </w:p>
    <w:p w14:paraId="2F18A790" w14:textId="77777777" w:rsidR="00EE4BFE" w:rsidRDefault="00EE4BFE">
      <w:pPr>
        <w:spacing w:line="240" w:lineRule="auto"/>
        <w:contextualSpacing/>
        <w:jc w:val="both"/>
      </w:pPr>
    </w:p>
    <w:p w14:paraId="5FE0FF3A" w14:textId="50258625" w:rsidR="00EE4BFE" w:rsidRDefault="006C7731">
      <w:pPr>
        <w:spacing w:line="240" w:lineRule="auto"/>
        <w:contextualSpacing/>
        <w:jc w:val="both"/>
      </w:pPr>
      <w:r w:rsidRPr="006C7731">
        <w:t xml:space="preserve">Ova </w:t>
      </w:r>
      <w:r w:rsidR="00B52FA6" w:rsidRPr="006C7731">
        <w:t xml:space="preserve">metodologija </w:t>
      </w:r>
      <w:r w:rsidRPr="006C7731">
        <w:t>stupa na snagu</w:t>
      </w:r>
      <w:r w:rsidR="00B52FA6">
        <w:t xml:space="preserve"> s</w:t>
      </w:r>
      <w:r w:rsidRPr="006C7731">
        <w:t xml:space="preserve"> danom</w:t>
      </w:r>
      <w:r w:rsidR="00B52FA6">
        <w:t xml:space="preserve"> njenog</w:t>
      </w:r>
      <w:r w:rsidRPr="006C7731">
        <w:t xml:space="preserve"> usvajanja.</w:t>
      </w:r>
    </w:p>
    <w:p w14:paraId="55AC2B96" w14:textId="77777777" w:rsidR="00EE4BFE" w:rsidRDefault="00EE4BFE">
      <w:pPr>
        <w:spacing w:before="120" w:after="240"/>
        <w:jc w:val="center"/>
      </w:pPr>
    </w:p>
    <w:p w14:paraId="4910F953" w14:textId="77777777" w:rsidR="00EE4BFE" w:rsidRDefault="00EE4BFE">
      <w:pPr>
        <w:spacing w:before="120" w:after="120"/>
        <w:ind w:left="2832" w:firstLine="708"/>
        <w:jc w:val="both"/>
      </w:pPr>
    </w:p>
    <w:p w14:paraId="2B39CB35" w14:textId="77777777" w:rsidR="00EE4BFE" w:rsidRDefault="006C7731">
      <w:pPr>
        <w:spacing w:before="120" w:after="120"/>
        <w:ind w:left="2832" w:firstLine="708"/>
        <w:jc w:val="both"/>
      </w:pPr>
      <w:r>
        <w:t>Predsjedavajući Koordinacije bankarske supervizije</w:t>
      </w:r>
    </w:p>
    <w:p w14:paraId="633572DD" w14:textId="77777777" w:rsidR="00EE4BFE" w:rsidRDefault="006C7731">
      <w:pPr>
        <w:spacing w:before="120" w:after="120"/>
        <w:ind w:left="4248" w:firstLine="708"/>
        <w:jc w:val="both"/>
      </w:pPr>
      <w:r>
        <w:t>dr. Senad Softić, guverner</w:t>
      </w:r>
    </w:p>
    <w:p w14:paraId="1484747C" w14:textId="77777777" w:rsidR="00EE4BFE" w:rsidRDefault="00EE4BFE">
      <w:pPr>
        <w:spacing w:before="120" w:after="120"/>
        <w:ind w:left="3540" w:firstLine="708"/>
        <w:jc w:val="both"/>
      </w:pPr>
    </w:p>
    <w:p w14:paraId="3875779D" w14:textId="77777777" w:rsidR="00EE4BFE" w:rsidRDefault="006C7731">
      <w:pPr>
        <w:spacing w:before="120" w:after="120"/>
        <w:ind w:left="3540" w:firstLine="708"/>
        <w:jc w:val="both"/>
      </w:pPr>
      <w:r>
        <w:t>_____________________________</w:t>
      </w:r>
    </w:p>
    <w:p w14:paraId="0D7A8F37" w14:textId="77777777" w:rsidR="00EE4BFE" w:rsidRDefault="00EE4BFE">
      <w:pPr>
        <w:spacing w:before="120" w:after="120"/>
        <w:jc w:val="both"/>
      </w:pPr>
    </w:p>
    <w:p w14:paraId="31D4E7E7" w14:textId="77777777" w:rsidR="00EE4BFE" w:rsidRDefault="00EE4BFE">
      <w:pPr>
        <w:spacing w:before="120" w:after="120"/>
        <w:jc w:val="both"/>
      </w:pPr>
    </w:p>
    <w:p w14:paraId="4FD1683A" w14:textId="77777777" w:rsidR="00EE4BFE" w:rsidRDefault="006C7731">
      <w:pPr>
        <w:spacing w:before="120" w:after="120"/>
        <w:jc w:val="both"/>
      </w:pPr>
      <w:r>
        <w:t>Broj: ________________/23</w:t>
      </w:r>
    </w:p>
    <w:p w14:paraId="2F9854B5" w14:textId="77777777" w:rsidR="00EE4BFE" w:rsidRDefault="006C7731">
      <w:pPr>
        <w:spacing w:before="120" w:after="120"/>
        <w:jc w:val="both"/>
      </w:pPr>
      <w:r>
        <w:t>Sarajevo, ______ 2023. godine</w:t>
      </w:r>
    </w:p>
    <w:sectPr w:rsidR="00EE4BFE" w:rsidSect="00341472">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D5E04" w14:textId="77777777" w:rsidR="00D47243" w:rsidRDefault="00D47243">
      <w:r>
        <w:separator/>
      </w:r>
    </w:p>
  </w:endnote>
  <w:endnote w:type="continuationSeparator" w:id="0">
    <w:p w14:paraId="6AC043A9" w14:textId="77777777" w:rsidR="00D47243" w:rsidRDefault="00D47243">
      <w:r>
        <w:continuationSeparator/>
      </w:r>
    </w:p>
  </w:endnote>
  <w:endnote w:type="continuationNotice" w:id="1">
    <w:p w14:paraId="63DC8EA5" w14:textId="77777777" w:rsidR="00D47243" w:rsidRDefault="00D472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C3A2" w14:textId="77777777" w:rsidR="00F67329" w:rsidRDefault="00F67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EE37" w14:textId="77777777" w:rsidR="00A02461" w:rsidRDefault="00A02461">
    <w:pPr>
      <w:pStyle w:val="Footer"/>
      <w:jc w:val="right"/>
      <w:rPr>
        <w:rStyle w:val="PageNumber"/>
      </w:rPr>
    </w:pPr>
  </w:p>
  <w:p w14:paraId="7F0EDCAE" w14:textId="30EE8CD1" w:rsidR="00EE4BFE" w:rsidRDefault="006C7731">
    <w:pPr>
      <w:pStyle w:val="Footer"/>
      <w:jc w:val="right"/>
    </w:pPr>
    <w:r>
      <w:rPr>
        <w:rStyle w:val="PageNumber"/>
      </w:rPr>
      <w:fldChar w:fldCharType="begin"/>
    </w:r>
    <w:r>
      <w:rPr>
        <w:rStyle w:val="PageNumber"/>
      </w:rPr>
      <w:instrText xml:space="preserve"> PAGE </w:instrText>
    </w:r>
    <w:r>
      <w:rPr>
        <w:rStyle w:val="PageNumber"/>
      </w:rPr>
      <w:fldChar w:fldCharType="separate"/>
    </w:r>
    <w:r w:rsidR="00EA7D35">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2B34" w14:textId="77777777" w:rsidR="00F67329" w:rsidRDefault="00F6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FF1C" w14:textId="77777777" w:rsidR="00D47243" w:rsidRDefault="00D47243">
      <w:r>
        <w:separator/>
      </w:r>
    </w:p>
  </w:footnote>
  <w:footnote w:type="continuationSeparator" w:id="0">
    <w:p w14:paraId="53CCC60F" w14:textId="77777777" w:rsidR="00D47243" w:rsidRDefault="00D47243">
      <w:r>
        <w:continuationSeparator/>
      </w:r>
    </w:p>
  </w:footnote>
  <w:footnote w:type="continuationNotice" w:id="1">
    <w:p w14:paraId="63CED611" w14:textId="77777777" w:rsidR="00D47243" w:rsidRDefault="00D4724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44F5" w14:textId="77777777" w:rsidR="00F67329" w:rsidRDefault="00F67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1A0D" w14:textId="77777777" w:rsidR="00F67329" w:rsidRDefault="00F67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B3AC" w14:textId="77777777" w:rsidR="00F67329" w:rsidRDefault="00F67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985"/>
    <w:multiLevelType w:val="hybridMultilevel"/>
    <w:tmpl w:val="750A6B18"/>
    <w:lvl w:ilvl="0" w:tplc="E54AC3EC">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041B2C97"/>
    <w:multiLevelType w:val="hybridMultilevel"/>
    <w:tmpl w:val="4C70DCD6"/>
    <w:lvl w:ilvl="0" w:tplc="C162615E">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15:restartNumberingAfterBreak="0">
    <w:nsid w:val="06285EC1"/>
    <w:multiLevelType w:val="hybridMultilevel"/>
    <w:tmpl w:val="D5EC4C22"/>
    <w:lvl w:ilvl="0" w:tplc="E54AC3EC">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15:restartNumberingAfterBreak="0">
    <w:nsid w:val="066626EB"/>
    <w:multiLevelType w:val="hybridMultilevel"/>
    <w:tmpl w:val="9588120C"/>
    <w:lvl w:ilvl="0" w:tplc="C5C00042">
      <w:start w:val="1"/>
      <w:numFmt w:val="bullet"/>
      <w:lvlText w:val=""/>
      <w:lvlJc w:val="left"/>
      <w:pPr>
        <w:ind w:left="720" w:hanging="360"/>
      </w:pPr>
      <w:rPr>
        <w:rFonts w:ascii="Symbol" w:hAnsi="Symbol"/>
      </w:rPr>
    </w:lvl>
    <w:lvl w:ilvl="1" w:tplc="6080AE24">
      <w:start w:val="1"/>
      <w:numFmt w:val="bullet"/>
      <w:lvlText w:val=""/>
      <w:lvlJc w:val="left"/>
      <w:pPr>
        <w:ind w:left="720" w:hanging="360"/>
      </w:pPr>
      <w:rPr>
        <w:rFonts w:ascii="Symbol" w:hAnsi="Symbol"/>
      </w:rPr>
    </w:lvl>
    <w:lvl w:ilvl="2" w:tplc="43A0DD6E">
      <w:start w:val="1"/>
      <w:numFmt w:val="bullet"/>
      <w:lvlText w:val=""/>
      <w:lvlJc w:val="left"/>
      <w:pPr>
        <w:ind w:left="720" w:hanging="360"/>
      </w:pPr>
      <w:rPr>
        <w:rFonts w:ascii="Symbol" w:hAnsi="Symbol"/>
      </w:rPr>
    </w:lvl>
    <w:lvl w:ilvl="3" w:tplc="7CF43720">
      <w:start w:val="1"/>
      <w:numFmt w:val="bullet"/>
      <w:lvlText w:val=""/>
      <w:lvlJc w:val="left"/>
      <w:pPr>
        <w:ind w:left="720" w:hanging="360"/>
      </w:pPr>
      <w:rPr>
        <w:rFonts w:ascii="Symbol" w:hAnsi="Symbol"/>
      </w:rPr>
    </w:lvl>
    <w:lvl w:ilvl="4" w:tplc="3C840C56">
      <w:start w:val="1"/>
      <w:numFmt w:val="bullet"/>
      <w:lvlText w:val=""/>
      <w:lvlJc w:val="left"/>
      <w:pPr>
        <w:ind w:left="720" w:hanging="360"/>
      </w:pPr>
      <w:rPr>
        <w:rFonts w:ascii="Symbol" w:hAnsi="Symbol"/>
      </w:rPr>
    </w:lvl>
    <w:lvl w:ilvl="5" w:tplc="C1AC7D6E">
      <w:start w:val="1"/>
      <w:numFmt w:val="bullet"/>
      <w:lvlText w:val=""/>
      <w:lvlJc w:val="left"/>
      <w:pPr>
        <w:ind w:left="720" w:hanging="360"/>
      </w:pPr>
      <w:rPr>
        <w:rFonts w:ascii="Symbol" w:hAnsi="Symbol"/>
      </w:rPr>
    </w:lvl>
    <w:lvl w:ilvl="6" w:tplc="55F28698">
      <w:start w:val="1"/>
      <w:numFmt w:val="bullet"/>
      <w:lvlText w:val=""/>
      <w:lvlJc w:val="left"/>
      <w:pPr>
        <w:ind w:left="720" w:hanging="360"/>
      </w:pPr>
      <w:rPr>
        <w:rFonts w:ascii="Symbol" w:hAnsi="Symbol"/>
      </w:rPr>
    </w:lvl>
    <w:lvl w:ilvl="7" w:tplc="F2B831E4">
      <w:start w:val="1"/>
      <w:numFmt w:val="bullet"/>
      <w:lvlText w:val=""/>
      <w:lvlJc w:val="left"/>
      <w:pPr>
        <w:ind w:left="720" w:hanging="360"/>
      </w:pPr>
      <w:rPr>
        <w:rFonts w:ascii="Symbol" w:hAnsi="Symbol"/>
      </w:rPr>
    </w:lvl>
    <w:lvl w:ilvl="8" w:tplc="684EDC9E">
      <w:start w:val="1"/>
      <w:numFmt w:val="bullet"/>
      <w:lvlText w:val=""/>
      <w:lvlJc w:val="left"/>
      <w:pPr>
        <w:ind w:left="720" w:hanging="360"/>
      </w:pPr>
      <w:rPr>
        <w:rFonts w:ascii="Symbol" w:hAnsi="Symbol"/>
      </w:rPr>
    </w:lvl>
  </w:abstractNum>
  <w:abstractNum w:abstractNumId="4" w15:restartNumberingAfterBreak="0">
    <w:nsid w:val="0AAC1962"/>
    <w:multiLevelType w:val="hybridMultilevel"/>
    <w:tmpl w:val="C9E28EDA"/>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5" w15:restartNumberingAfterBreak="0">
    <w:nsid w:val="0B1F4FAD"/>
    <w:multiLevelType w:val="hybridMultilevel"/>
    <w:tmpl w:val="72106EFC"/>
    <w:lvl w:ilvl="0" w:tplc="0734D9DC">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0BEA3281"/>
    <w:multiLevelType w:val="hybridMultilevel"/>
    <w:tmpl w:val="A2AAFDB4"/>
    <w:lvl w:ilvl="0" w:tplc="8DB4B878">
      <w:start w:val="1"/>
      <w:numFmt w:val="bullet"/>
      <w:lvlText w:val=""/>
      <w:lvlJc w:val="left"/>
      <w:pPr>
        <w:ind w:left="720" w:hanging="360"/>
      </w:pPr>
      <w:rPr>
        <w:rFonts w:ascii="Symbol" w:hAnsi="Symbol"/>
      </w:rPr>
    </w:lvl>
    <w:lvl w:ilvl="1" w:tplc="530EABC6">
      <w:start w:val="1"/>
      <w:numFmt w:val="bullet"/>
      <w:lvlText w:val=""/>
      <w:lvlJc w:val="left"/>
      <w:pPr>
        <w:ind w:left="720" w:hanging="360"/>
      </w:pPr>
      <w:rPr>
        <w:rFonts w:ascii="Symbol" w:hAnsi="Symbol"/>
      </w:rPr>
    </w:lvl>
    <w:lvl w:ilvl="2" w:tplc="35B0F014">
      <w:start w:val="1"/>
      <w:numFmt w:val="bullet"/>
      <w:lvlText w:val=""/>
      <w:lvlJc w:val="left"/>
      <w:pPr>
        <w:ind w:left="720" w:hanging="360"/>
      </w:pPr>
      <w:rPr>
        <w:rFonts w:ascii="Symbol" w:hAnsi="Symbol"/>
      </w:rPr>
    </w:lvl>
    <w:lvl w:ilvl="3" w:tplc="AF7A7B56">
      <w:start w:val="1"/>
      <w:numFmt w:val="bullet"/>
      <w:lvlText w:val=""/>
      <w:lvlJc w:val="left"/>
      <w:pPr>
        <w:ind w:left="720" w:hanging="360"/>
      </w:pPr>
      <w:rPr>
        <w:rFonts w:ascii="Symbol" w:hAnsi="Symbol"/>
      </w:rPr>
    </w:lvl>
    <w:lvl w:ilvl="4" w:tplc="2D1E5CD0">
      <w:start w:val="1"/>
      <w:numFmt w:val="bullet"/>
      <w:lvlText w:val=""/>
      <w:lvlJc w:val="left"/>
      <w:pPr>
        <w:ind w:left="720" w:hanging="360"/>
      </w:pPr>
      <w:rPr>
        <w:rFonts w:ascii="Symbol" w:hAnsi="Symbol"/>
      </w:rPr>
    </w:lvl>
    <w:lvl w:ilvl="5" w:tplc="0EF8C6F8">
      <w:start w:val="1"/>
      <w:numFmt w:val="bullet"/>
      <w:lvlText w:val=""/>
      <w:lvlJc w:val="left"/>
      <w:pPr>
        <w:ind w:left="720" w:hanging="360"/>
      </w:pPr>
      <w:rPr>
        <w:rFonts w:ascii="Symbol" w:hAnsi="Symbol"/>
      </w:rPr>
    </w:lvl>
    <w:lvl w:ilvl="6" w:tplc="C71632F4">
      <w:start w:val="1"/>
      <w:numFmt w:val="bullet"/>
      <w:lvlText w:val=""/>
      <w:lvlJc w:val="left"/>
      <w:pPr>
        <w:ind w:left="720" w:hanging="360"/>
      </w:pPr>
      <w:rPr>
        <w:rFonts w:ascii="Symbol" w:hAnsi="Symbol"/>
      </w:rPr>
    </w:lvl>
    <w:lvl w:ilvl="7" w:tplc="0F0A5AEE">
      <w:start w:val="1"/>
      <w:numFmt w:val="bullet"/>
      <w:lvlText w:val=""/>
      <w:lvlJc w:val="left"/>
      <w:pPr>
        <w:ind w:left="720" w:hanging="360"/>
      </w:pPr>
      <w:rPr>
        <w:rFonts w:ascii="Symbol" w:hAnsi="Symbol"/>
      </w:rPr>
    </w:lvl>
    <w:lvl w:ilvl="8" w:tplc="DB5864BC">
      <w:start w:val="1"/>
      <w:numFmt w:val="bullet"/>
      <w:lvlText w:val=""/>
      <w:lvlJc w:val="left"/>
      <w:pPr>
        <w:ind w:left="720" w:hanging="360"/>
      </w:pPr>
      <w:rPr>
        <w:rFonts w:ascii="Symbol" w:hAnsi="Symbol"/>
      </w:rPr>
    </w:lvl>
  </w:abstractNum>
  <w:abstractNum w:abstractNumId="7" w15:restartNumberingAfterBreak="0">
    <w:nsid w:val="0D0C3DF8"/>
    <w:multiLevelType w:val="hybridMultilevel"/>
    <w:tmpl w:val="1D84CD2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0F752C02"/>
    <w:multiLevelType w:val="hybridMultilevel"/>
    <w:tmpl w:val="FF2E3FDC"/>
    <w:lvl w:ilvl="0" w:tplc="E54AC3EC">
      <w:start w:val="1"/>
      <w:numFmt w:val="decimal"/>
      <w:lvlText w:val="(%1)"/>
      <w:lvlJc w:val="left"/>
      <w:pPr>
        <w:ind w:left="720" w:hanging="360"/>
      </w:pPr>
      <w:rPr>
        <w:rFonts w:ascii="Times New Roman" w:eastAsia="Times New Roman"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13932D08"/>
    <w:multiLevelType w:val="hybridMultilevel"/>
    <w:tmpl w:val="69C046E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16E61AA2"/>
    <w:multiLevelType w:val="multilevel"/>
    <w:tmpl w:val="D6E6D8D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9B32C3D"/>
    <w:multiLevelType w:val="hybridMultilevel"/>
    <w:tmpl w:val="C15EDB7E"/>
    <w:lvl w:ilvl="0" w:tplc="F8F0C4CE">
      <w:start w:val="1"/>
      <w:numFmt w:val="bullet"/>
      <w:lvlText w:val=""/>
      <w:lvlJc w:val="left"/>
      <w:pPr>
        <w:ind w:left="720" w:hanging="360"/>
      </w:pPr>
      <w:rPr>
        <w:rFonts w:ascii="Symbol" w:hAnsi="Symbol"/>
      </w:rPr>
    </w:lvl>
    <w:lvl w:ilvl="1" w:tplc="A060EEB8">
      <w:start w:val="1"/>
      <w:numFmt w:val="bullet"/>
      <w:lvlText w:val=""/>
      <w:lvlJc w:val="left"/>
      <w:pPr>
        <w:ind w:left="720" w:hanging="360"/>
      </w:pPr>
      <w:rPr>
        <w:rFonts w:ascii="Symbol" w:hAnsi="Symbol"/>
      </w:rPr>
    </w:lvl>
    <w:lvl w:ilvl="2" w:tplc="A3C4208A">
      <w:start w:val="1"/>
      <w:numFmt w:val="bullet"/>
      <w:lvlText w:val=""/>
      <w:lvlJc w:val="left"/>
      <w:pPr>
        <w:ind w:left="720" w:hanging="360"/>
      </w:pPr>
      <w:rPr>
        <w:rFonts w:ascii="Symbol" w:hAnsi="Symbol"/>
      </w:rPr>
    </w:lvl>
    <w:lvl w:ilvl="3" w:tplc="BDAAB044">
      <w:start w:val="1"/>
      <w:numFmt w:val="bullet"/>
      <w:lvlText w:val=""/>
      <w:lvlJc w:val="left"/>
      <w:pPr>
        <w:ind w:left="720" w:hanging="360"/>
      </w:pPr>
      <w:rPr>
        <w:rFonts w:ascii="Symbol" w:hAnsi="Symbol"/>
      </w:rPr>
    </w:lvl>
    <w:lvl w:ilvl="4" w:tplc="A1FCAF1C">
      <w:start w:val="1"/>
      <w:numFmt w:val="bullet"/>
      <w:lvlText w:val=""/>
      <w:lvlJc w:val="left"/>
      <w:pPr>
        <w:ind w:left="720" w:hanging="360"/>
      </w:pPr>
      <w:rPr>
        <w:rFonts w:ascii="Symbol" w:hAnsi="Symbol"/>
      </w:rPr>
    </w:lvl>
    <w:lvl w:ilvl="5" w:tplc="45486BC4">
      <w:start w:val="1"/>
      <w:numFmt w:val="bullet"/>
      <w:lvlText w:val=""/>
      <w:lvlJc w:val="left"/>
      <w:pPr>
        <w:ind w:left="720" w:hanging="360"/>
      </w:pPr>
      <w:rPr>
        <w:rFonts w:ascii="Symbol" w:hAnsi="Symbol"/>
      </w:rPr>
    </w:lvl>
    <w:lvl w:ilvl="6" w:tplc="B55E6CA4">
      <w:start w:val="1"/>
      <w:numFmt w:val="bullet"/>
      <w:lvlText w:val=""/>
      <w:lvlJc w:val="left"/>
      <w:pPr>
        <w:ind w:left="720" w:hanging="360"/>
      </w:pPr>
      <w:rPr>
        <w:rFonts w:ascii="Symbol" w:hAnsi="Symbol"/>
      </w:rPr>
    </w:lvl>
    <w:lvl w:ilvl="7" w:tplc="3F724E02">
      <w:start w:val="1"/>
      <w:numFmt w:val="bullet"/>
      <w:lvlText w:val=""/>
      <w:lvlJc w:val="left"/>
      <w:pPr>
        <w:ind w:left="720" w:hanging="360"/>
      </w:pPr>
      <w:rPr>
        <w:rFonts w:ascii="Symbol" w:hAnsi="Symbol"/>
      </w:rPr>
    </w:lvl>
    <w:lvl w:ilvl="8" w:tplc="27148F94">
      <w:start w:val="1"/>
      <w:numFmt w:val="bullet"/>
      <w:lvlText w:val=""/>
      <w:lvlJc w:val="left"/>
      <w:pPr>
        <w:ind w:left="720" w:hanging="360"/>
      </w:pPr>
      <w:rPr>
        <w:rFonts w:ascii="Symbol" w:hAnsi="Symbol"/>
      </w:rPr>
    </w:lvl>
  </w:abstractNum>
  <w:abstractNum w:abstractNumId="12" w15:restartNumberingAfterBreak="0">
    <w:nsid w:val="225C51C0"/>
    <w:multiLevelType w:val="hybridMultilevel"/>
    <w:tmpl w:val="F4C4A82A"/>
    <w:lvl w:ilvl="0" w:tplc="DC8C7C50">
      <w:start w:val="1"/>
      <w:numFmt w:val="bullet"/>
      <w:lvlText w:val=""/>
      <w:lvlJc w:val="left"/>
      <w:pPr>
        <w:ind w:left="720" w:hanging="360"/>
      </w:pPr>
      <w:rPr>
        <w:rFonts w:ascii="Symbol" w:hAnsi="Symbol"/>
      </w:rPr>
    </w:lvl>
    <w:lvl w:ilvl="1" w:tplc="6ADE481E">
      <w:start w:val="1"/>
      <w:numFmt w:val="bullet"/>
      <w:lvlText w:val=""/>
      <w:lvlJc w:val="left"/>
      <w:pPr>
        <w:ind w:left="720" w:hanging="360"/>
      </w:pPr>
      <w:rPr>
        <w:rFonts w:ascii="Symbol" w:hAnsi="Symbol"/>
      </w:rPr>
    </w:lvl>
    <w:lvl w:ilvl="2" w:tplc="12ACA1B6">
      <w:start w:val="1"/>
      <w:numFmt w:val="bullet"/>
      <w:lvlText w:val=""/>
      <w:lvlJc w:val="left"/>
      <w:pPr>
        <w:ind w:left="720" w:hanging="360"/>
      </w:pPr>
      <w:rPr>
        <w:rFonts w:ascii="Symbol" w:hAnsi="Symbol"/>
      </w:rPr>
    </w:lvl>
    <w:lvl w:ilvl="3" w:tplc="52924690">
      <w:start w:val="1"/>
      <w:numFmt w:val="bullet"/>
      <w:lvlText w:val=""/>
      <w:lvlJc w:val="left"/>
      <w:pPr>
        <w:ind w:left="720" w:hanging="360"/>
      </w:pPr>
      <w:rPr>
        <w:rFonts w:ascii="Symbol" w:hAnsi="Symbol"/>
      </w:rPr>
    </w:lvl>
    <w:lvl w:ilvl="4" w:tplc="6832B900">
      <w:start w:val="1"/>
      <w:numFmt w:val="bullet"/>
      <w:lvlText w:val=""/>
      <w:lvlJc w:val="left"/>
      <w:pPr>
        <w:ind w:left="720" w:hanging="360"/>
      </w:pPr>
      <w:rPr>
        <w:rFonts w:ascii="Symbol" w:hAnsi="Symbol"/>
      </w:rPr>
    </w:lvl>
    <w:lvl w:ilvl="5" w:tplc="CF883162">
      <w:start w:val="1"/>
      <w:numFmt w:val="bullet"/>
      <w:lvlText w:val=""/>
      <w:lvlJc w:val="left"/>
      <w:pPr>
        <w:ind w:left="720" w:hanging="360"/>
      </w:pPr>
      <w:rPr>
        <w:rFonts w:ascii="Symbol" w:hAnsi="Symbol"/>
      </w:rPr>
    </w:lvl>
    <w:lvl w:ilvl="6" w:tplc="E2F0A6E8">
      <w:start w:val="1"/>
      <w:numFmt w:val="bullet"/>
      <w:lvlText w:val=""/>
      <w:lvlJc w:val="left"/>
      <w:pPr>
        <w:ind w:left="720" w:hanging="360"/>
      </w:pPr>
      <w:rPr>
        <w:rFonts w:ascii="Symbol" w:hAnsi="Symbol"/>
      </w:rPr>
    </w:lvl>
    <w:lvl w:ilvl="7" w:tplc="8EB65B06">
      <w:start w:val="1"/>
      <w:numFmt w:val="bullet"/>
      <w:lvlText w:val=""/>
      <w:lvlJc w:val="left"/>
      <w:pPr>
        <w:ind w:left="720" w:hanging="360"/>
      </w:pPr>
      <w:rPr>
        <w:rFonts w:ascii="Symbol" w:hAnsi="Symbol"/>
      </w:rPr>
    </w:lvl>
    <w:lvl w:ilvl="8" w:tplc="7CFEB9E2">
      <w:start w:val="1"/>
      <w:numFmt w:val="bullet"/>
      <w:lvlText w:val=""/>
      <w:lvlJc w:val="left"/>
      <w:pPr>
        <w:ind w:left="720" w:hanging="360"/>
      </w:pPr>
      <w:rPr>
        <w:rFonts w:ascii="Symbol" w:hAnsi="Symbol"/>
      </w:rPr>
    </w:lvl>
  </w:abstractNum>
  <w:abstractNum w:abstractNumId="13" w15:restartNumberingAfterBreak="0">
    <w:nsid w:val="232F0B3C"/>
    <w:multiLevelType w:val="hybridMultilevel"/>
    <w:tmpl w:val="3FD688E4"/>
    <w:lvl w:ilvl="0" w:tplc="2FCAE61C">
      <w:start w:val="1"/>
      <w:numFmt w:val="bullet"/>
      <w:lvlText w:val=""/>
      <w:lvlJc w:val="left"/>
      <w:pPr>
        <w:ind w:left="720" w:hanging="360"/>
      </w:pPr>
      <w:rPr>
        <w:rFonts w:ascii="Symbol" w:hAnsi="Symbol"/>
      </w:rPr>
    </w:lvl>
    <w:lvl w:ilvl="1" w:tplc="77B608BC">
      <w:start w:val="1"/>
      <w:numFmt w:val="bullet"/>
      <w:lvlText w:val=""/>
      <w:lvlJc w:val="left"/>
      <w:pPr>
        <w:ind w:left="720" w:hanging="360"/>
      </w:pPr>
      <w:rPr>
        <w:rFonts w:ascii="Symbol" w:hAnsi="Symbol"/>
      </w:rPr>
    </w:lvl>
    <w:lvl w:ilvl="2" w:tplc="831669D4">
      <w:start w:val="1"/>
      <w:numFmt w:val="bullet"/>
      <w:lvlText w:val=""/>
      <w:lvlJc w:val="left"/>
      <w:pPr>
        <w:ind w:left="720" w:hanging="360"/>
      </w:pPr>
      <w:rPr>
        <w:rFonts w:ascii="Symbol" w:hAnsi="Symbol"/>
      </w:rPr>
    </w:lvl>
    <w:lvl w:ilvl="3" w:tplc="87A688D4">
      <w:start w:val="1"/>
      <w:numFmt w:val="bullet"/>
      <w:lvlText w:val=""/>
      <w:lvlJc w:val="left"/>
      <w:pPr>
        <w:ind w:left="720" w:hanging="360"/>
      </w:pPr>
      <w:rPr>
        <w:rFonts w:ascii="Symbol" w:hAnsi="Symbol"/>
      </w:rPr>
    </w:lvl>
    <w:lvl w:ilvl="4" w:tplc="D7D23D58">
      <w:start w:val="1"/>
      <w:numFmt w:val="bullet"/>
      <w:lvlText w:val=""/>
      <w:lvlJc w:val="left"/>
      <w:pPr>
        <w:ind w:left="720" w:hanging="360"/>
      </w:pPr>
      <w:rPr>
        <w:rFonts w:ascii="Symbol" w:hAnsi="Symbol"/>
      </w:rPr>
    </w:lvl>
    <w:lvl w:ilvl="5" w:tplc="D8D05E84">
      <w:start w:val="1"/>
      <w:numFmt w:val="bullet"/>
      <w:lvlText w:val=""/>
      <w:lvlJc w:val="left"/>
      <w:pPr>
        <w:ind w:left="720" w:hanging="360"/>
      </w:pPr>
      <w:rPr>
        <w:rFonts w:ascii="Symbol" w:hAnsi="Symbol"/>
      </w:rPr>
    </w:lvl>
    <w:lvl w:ilvl="6" w:tplc="46EC20CE">
      <w:start w:val="1"/>
      <w:numFmt w:val="bullet"/>
      <w:lvlText w:val=""/>
      <w:lvlJc w:val="left"/>
      <w:pPr>
        <w:ind w:left="720" w:hanging="360"/>
      </w:pPr>
      <w:rPr>
        <w:rFonts w:ascii="Symbol" w:hAnsi="Symbol"/>
      </w:rPr>
    </w:lvl>
    <w:lvl w:ilvl="7" w:tplc="F23C6BA6">
      <w:start w:val="1"/>
      <w:numFmt w:val="bullet"/>
      <w:lvlText w:val=""/>
      <w:lvlJc w:val="left"/>
      <w:pPr>
        <w:ind w:left="720" w:hanging="360"/>
      </w:pPr>
      <w:rPr>
        <w:rFonts w:ascii="Symbol" w:hAnsi="Symbol"/>
      </w:rPr>
    </w:lvl>
    <w:lvl w:ilvl="8" w:tplc="1848BFC4">
      <w:start w:val="1"/>
      <w:numFmt w:val="bullet"/>
      <w:lvlText w:val=""/>
      <w:lvlJc w:val="left"/>
      <w:pPr>
        <w:ind w:left="720" w:hanging="360"/>
      </w:pPr>
      <w:rPr>
        <w:rFonts w:ascii="Symbol" w:hAnsi="Symbol"/>
      </w:rPr>
    </w:lvl>
  </w:abstractNum>
  <w:abstractNum w:abstractNumId="14" w15:restartNumberingAfterBreak="0">
    <w:nsid w:val="24767EB7"/>
    <w:multiLevelType w:val="hybridMultilevel"/>
    <w:tmpl w:val="205E0EF4"/>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25794AF5"/>
    <w:multiLevelType w:val="hybridMultilevel"/>
    <w:tmpl w:val="C9E28EDA"/>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6" w15:restartNumberingAfterBreak="0">
    <w:nsid w:val="25AB4FD5"/>
    <w:multiLevelType w:val="hybridMultilevel"/>
    <w:tmpl w:val="45C0486A"/>
    <w:lvl w:ilvl="0" w:tplc="E54AC3EC">
      <w:start w:val="1"/>
      <w:numFmt w:val="decimal"/>
      <w:lvlText w:val="(%1)"/>
      <w:lvlJc w:val="left"/>
      <w:pPr>
        <w:ind w:left="360" w:hanging="360"/>
      </w:pPr>
      <w:rPr>
        <w:rFonts w:ascii="Times New Roman" w:eastAsia="Times New Roman" w:hAnsi="Times New Roman" w:cs="Times New Roman"/>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15:restartNumberingAfterBreak="0">
    <w:nsid w:val="28462F16"/>
    <w:multiLevelType w:val="hybridMultilevel"/>
    <w:tmpl w:val="12326988"/>
    <w:lvl w:ilvl="0" w:tplc="01D47438">
      <w:start w:val="1"/>
      <w:numFmt w:val="bullet"/>
      <w:lvlText w:val=""/>
      <w:lvlJc w:val="left"/>
      <w:pPr>
        <w:ind w:left="720" w:hanging="360"/>
      </w:pPr>
      <w:rPr>
        <w:rFonts w:ascii="Symbol" w:hAnsi="Symbol"/>
      </w:rPr>
    </w:lvl>
    <w:lvl w:ilvl="1" w:tplc="1C5C62C2">
      <w:start w:val="1"/>
      <w:numFmt w:val="bullet"/>
      <w:lvlText w:val=""/>
      <w:lvlJc w:val="left"/>
      <w:pPr>
        <w:ind w:left="720" w:hanging="360"/>
      </w:pPr>
      <w:rPr>
        <w:rFonts w:ascii="Symbol" w:hAnsi="Symbol"/>
      </w:rPr>
    </w:lvl>
    <w:lvl w:ilvl="2" w:tplc="2D684300">
      <w:start w:val="1"/>
      <w:numFmt w:val="bullet"/>
      <w:lvlText w:val=""/>
      <w:lvlJc w:val="left"/>
      <w:pPr>
        <w:ind w:left="720" w:hanging="360"/>
      </w:pPr>
      <w:rPr>
        <w:rFonts w:ascii="Symbol" w:hAnsi="Symbol"/>
      </w:rPr>
    </w:lvl>
    <w:lvl w:ilvl="3" w:tplc="EB3C1BB4">
      <w:start w:val="1"/>
      <w:numFmt w:val="bullet"/>
      <w:lvlText w:val=""/>
      <w:lvlJc w:val="left"/>
      <w:pPr>
        <w:ind w:left="720" w:hanging="360"/>
      </w:pPr>
      <w:rPr>
        <w:rFonts w:ascii="Symbol" w:hAnsi="Symbol"/>
      </w:rPr>
    </w:lvl>
    <w:lvl w:ilvl="4" w:tplc="2FCE42C6">
      <w:start w:val="1"/>
      <w:numFmt w:val="bullet"/>
      <w:lvlText w:val=""/>
      <w:lvlJc w:val="left"/>
      <w:pPr>
        <w:ind w:left="720" w:hanging="360"/>
      </w:pPr>
      <w:rPr>
        <w:rFonts w:ascii="Symbol" w:hAnsi="Symbol"/>
      </w:rPr>
    </w:lvl>
    <w:lvl w:ilvl="5" w:tplc="179E599E">
      <w:start w:val="1"/>
      <w:numFmt w:val="bullet"/>
      <w:lvlText w:val=""/>
      <w:lvlJc w:val="left"/>
      <w:pPr>
        <w:ind w:left="720" w:hanging="360"/>
      </w:pPr>
      <w:rPr>
        <w:rFonts w:ascii="Symbol" w:hAnsi="Symbol"/>
      </w:rPr>
    </w:lvl>
    <w:lvl w:ilvl="6" w:tplc="78ACD6E6">
      <w:start w:val="1"/>
      <w:numFmt w:val="bullet"/>
      <w:lvlText w:val=""/>
      <w:lvlJc w:val="left"/>
      <w:pPr>
        <w:ind w:left="720" w:hanging="360"/>
      </w:pPr>
      <w:rPr>
        <w:rFonts w:ascii="Symbol" w:hAnsi="Symbol"/>
      </w:rPr>
    </w:lvl>
    <w:lvl w:ilvl="7" w:tplc="E23806B8">
      <w:start w:val="1"/>
      <w:numFmt w:val="bullet"/>
      <w:lvlText w:val=""/>
      <w:lvlJc w:val="left"/>
      <w:pPr>
        <w:ind w:left="720" w:hanging="360"/>
      </w:pPr>
      <w:rPr>
        <w:rFonts w:ascii="Symbol" w:hAnsi="Symbol"/>
      </w:rPr>
    </w:lvl>
    <w:lvl w:ilvl="8" w:tplc="21B68822">
      <w:start w:val="1"/>
      <w:numFmt w:val="bullet"/>
      <w:lvlText w:val=""/>
      <w:lvlJc w:val="left"/>
      <w:pPr>
        <w:ind w:left="720" w:hanging="360"/>
      </w:pPr>
      <w:rPr>
        <w:rFonts w:ascii="Symbol" w:hAnsi="Symbol"/>
      </w:rPr>
    </w:lvl>
  </w:abstractNum>
  <w:abstractNum w:abstractNumId="18" w15:restartNumberingAfterBreak="0">
    <w:nsid w:val="2B7433D8"/>
    <w:multiLevelType w:val="hybridMultilevel"/>
    <w:tmpl w:val="2EA27122"/>
    <w:lvl w:ilvl="0" w:tplc="860E636E">
      <w:start w:val="1"/>
      <w:numFmt w:val="bullet"/>
      <w:lvlText w:val=""/>
      <w:lvlJc w:val="left"/>
      <w:pPr>
        <w:ind w:left="720" w:hanging="360"/>
      </w:pPr>
      <w:rPr>
        <w:rFonts w:ascii="Symbol" w:hAnsi="Symbol"/>
      </w:rPr>
    </w:lvl>
    <w:lvl w:ilvl="1" w:tplc="CC601BFC">
      <w:start w:val="1"/>
      <w:numFmt w:val="bullet"/>
      <w:lvlText w:val=""/>
      <w:lvlJc w:val="left"/>
      <w:pPr>
        <w:ind w:left="720" w:hanging="360"/>
      </w:pPr>
      <w:rPr>
        <w:rFonts w:ascii="Symbol" w:hAnsi="Symbol"/>
      </w:rPr>
    </w:lvl>
    <w:lvl w:ilvl="2" w:tplc="F2962462">
      <w:start w:val="1"/>
      <w:numFmt w:val="bullet"/>
      <w:lvlText w:val=""/>
      <w:lvlJc w:val="left"/>
      <w:pPr>
        <w:ind w:left="720" w:hanging="360"/>
      </w:pPr>
      <w:rPr>
        <w:rFonts w:ascii="Symbol" w:hAnsi="Symbol"/>
      </w:rPr>
    </w:lvl>
    <w:lvl w:ilvl="3" w:tplc="3C783F72">
      <w:start w:val="1"/>
      <w:numFmt w:val="bullet"/>
      <w:lvlText w:val=""/>
      <w:lvlJc w:val="left"/>
      <w:pPr>
        <w:ind w:left="720" w:hanging="360"/>
      </w:pPr>
      <w:rPr>
        <w:rFonts w:ascii="Symbol" w:hAnsi="Symbol"/>
      </w:rPr>
    </w:lvl>
    <w:lvl w:ilvl="4" w:tplc="6A2EE350">
      <w:start w:val="1"/>
      <w:numFmt w:val="bullet"/>
      <w:lvlText w:val=""/>
      <w:lvlJc w:val="left"/>
      <w:pPr>
        <w:ind w:left="720" w:hanging="360"/>
      </w:pPr>
      <w:rPr>
        <w:rFonts w:ascii="Symbol" w:hAnsi="Symbol"/>
      </w:rPr>
    </w:lvl>
    <w:lvl w:ilvl="5" w:tplc="11C870DE">
      <w:start w:val="1"/>
      <w:numFmt w:val="bullet"/>
      <w:lvlText w:val=""/>
      <w:lvlJc w:val="left"/>
      <w:pPr>
        <w:ind w:left="720" w:hanging="360"/>
      </w:pPr>
      <w:rPr>
        <w:rFonts w:ascii="Symbol" w:hAnsi="Symbol"/>
      </w:rPr>
    </w:lvl>
    <w:lvl w:ilvl="6" w:tplc="653C175E">
      <w:start w:val="1"/>
      <w:numFmt w:val="bullet"/>
      <w:lvlText w:val=""/>
      <w:lvlJc w:val="left"/>
      <w:pPr>
        <w:ind w:left="720" w:hanging="360"/>
      </w:pPr>
      <w:rPr>
        <w:rFonts w:ascii="Symbol" w:hAnsi="Symbol"/>
      </w:rPr>
    </w:lvl>
    <w:lvl w:ilvl="7" w:tplc="BE6231B8">
      <w:start w:val="1"/>
      <w:numFmt w:val="bullet"/>
      <w:lvlText w:val=""/>
      <w:lvlJc w:val="left"/>
      <w:pPr>
        <w:ind w:left="720" w:hanging="360"/>
      </w:pPr>
      <w:rPr>
        <w:rFonts w:ascii="Symbol" w:hAnsi="Symbol"/>
      </w:rPr>
    </w:lvl>
    <w:lvl w:ilvl="8" w:tplc="CEC28EF2">
      <w:start w:val="1"/>
      <w:numFmt w:val="bullet"/>
      <w:lvlText w:val=""/>
      <w:lvlJc w:val="left"/>
      <w:pPr>
        <w:ind w:left="720" w:hanging="360"/>
      </w:pPr>
      <w:rPr>
        <w:rFonts w:ascii="Symbol" w:hAnsi="Symbol"/>
      </w:rPr>
    </w:lvl>
  </w:abstractNum>
  <w:abstractNum w:abstractNumId="19" w15:restartNumberingAfterBreak="0">
    <w:nsid w:val="30957768"/>
    <w:multiLevelType w:val="hybridMultilevel"/>
    <w:tmpl w:val="25C091EC"/>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31CC1CA2"/>
    <w:multiLevelType w:val="hybridMultilevel"/>
    <w:tmpl w:val="AF607C4E"/>
    <w:lvl w:ilvl="0" w:tplc="E54AC3EC">
      <w:start w:val="1"/>
      <w:numFmt w:val="decimal"/>
      <w:lvlText w:val="(%1)"/>
      <w:lvlJc w:val="left"/>
      <w:pPr>
        <w:ind w:left="360" w:hanging="360"/>
      </w:pPr>
      <w:rPr>
        <w:rFonts w:ascii="Times New Roman" w:eastAsia="Times New Roman" w:hAnsi="Times New Roman" w:cs="Times New Roman"/>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 w15:restartNumberingAfterBreak="0">
    <w:nsid w:val="34944C6D"/>
    <w:multiLevelType w:val="multilevel"/>
    <w:tmpl w:val="FF2A9E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430F79"/>
    <w:multiLevelType w:val="hybridMultilevel"/>
    <w:tmpl w:val="86B66356"/>
    <w:lvl w:ilvl="0" w:tplc="141A000F">
      <w:start w:val="5"/>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15:restartNumberingAfterBreak="0">
    <w:nsid w:val="36FB7893"/>
    <w:multiLevelType w:val="hybridMultilevel"/>
    <w:tmpl w:val="40D45726"/>
    <w:lvl w:ilvl="0" w:tplc="D04C89A8">
      <w:start w:val="1"/>
      <w:numFmt w:val="bullet"/>
      <w:lvlText w:val=""/>
      <w:lvlJc w:val="left"/>
      <w:pPr>
        <w:ind w:left="720" w:hanging="360"/>
      </w:pPr>
      <w:rPr>
        <w:rFonts w:ascii="Symbol" w:hAnsi="Symbol"/>
      </w:rPr>
    </w:lvl>
    <w:lvl w:ilvl="1" w:tplc="57B05EA6">
      <w:start w:val="1"/>
      <w:numFmt w:val="bullet"/>
      <w:lvlText w:val=""/>
      <w:lvlJc w:val="left"/>
      <w:pPr>
        <w:ind w:left="720" w:hanging="360"/>
      </w:pPr>
      <w:rPr>
        <w:rFonts w:ascii="Symbol" w:hAnsi="Symbol"/>
      </w:rPr>
    </w:lvl>
    <w:lvl w:ilvl="2" w:tplc="8F204C48">
      <w:start w:val="1"/>
      <w:numFmt w:val="bullet"/>
      <w:lvlText w:val=""/>
      <w:lvlJc w:val="left"/>
      <w:pPr>
        <w:ind w:left="720" w:hanging="360"/>
      </w:pPr>
      <w:rPr>
        <w:rFonts w:ascii="Symbol" w:hAnsi="Symbol"/>
      </w:rPr>
    </w:lvl>
    <w:lvl w:ilvl="3" w:tplc="F6C2344E">
      <w:start w:val="1"/>
      <w:numFmt w:val="bullet"/>
      <w:lvlText w:val=""/>
      <w:lvlJc w:val="left"/>
      <w:pPr>
        <w:ind w:left="720" w:hanging="360"/>
      </w:pPr>
      <w:rPr>
        <w:rFonts w:ascii="Symbol" w:hAnsi="Symbol"/>
      </w:rPr>
    </w:lvl>
    <w:lvl w:ilvl="4" w:tplc="F9FCE2AC">
      <w:start w:val="1"/>
      <w:numFmt w:val="bullet"/>
      <w:lvlText w:val=""/>
      <w:lvlJc w:val="left"/>
      <w:pPr>
        <w:ind w:left="720" w:hanging="360"/>
      </w:pPr>
      <w:rPr>
        <w:rFonts w:ascii="Symbol" w:hAnsi="Symbol"/>
      </w:rPr>
    </w:lvl>
    <w:lvl w:ilvl="5" w:tplc="7DCA2A46">
      <w:start w:val="1"/>
      <w:numFmt w:val="bullet"/>
      <w:lvlText w:val=""/>
      <w:lvlJc w:val="left"/>
      <w:pPr>
        <w:ind w:left="720" w:hanging="360"/>
      </w:pPr>
      <w:rPr>
        <w:rFonts w:ascii="Symbol" w:hAnsi="Symbol"/>
      </w:rPr>
    </w:lvl>
    <w:lvl w:ilvl="6" w:tplc="4D60AA90">
      <w:start w:val="1"/>
      <w:numFmt w:val="bullet"/>
      <w:lvlText w:val=""/>
      <w:lvlJc w:val="left"/>
      <w:pPr>
        <w:ind w:left="720" w:hanging="360"/>
      </w:pPr>
      <w:rPr>
        <w:rFonts w:ascii="Symbol" w:hAnsi="Symbol"/>
      </w:rPr>
    </w:lvl>
    <w:lvl w:ilvl="7" w:tplc="06A689E4">
      <w:start w:val="1"/>
      <w:numFmt w:val="bullet"/>
      <w:lvlText w:val=""/>
      <w:lvlJc w:val="left"/>
      <w:pPr>
        <w:ind w:left="720" w:hanging="360"/>
      </w:pPr>
      <w:rPr>
        <w:rFonts w:ascii="Symbol" w:hAnsi="Symbol"/>
      </w:rPr>
    </w:lvl>
    <w:lvl w:ilvl="8" w:tplc="9926F166">
      <w:start w:val="1"/>
      <w:numFmt w:val="bullet"/>
      <w:lvlText w:val=""/>
      <w:lvlJc w:val="left"/>
      <w:pPr>
        <w:ind w:left="720" w:hanging="360"/>
      </w:pPr>
      <w:rPr>
        <w:rFonts w:ascii="Symbol" w:hAnsi="Symbol"/>
      </w:rPr>
    </w:lvl>
  </w:abstractNum>
  <w:abstractNum w:abstractNumId="24" w15:restartNumberingAfterBreak="0">
    <w:nsid w:val="37240F64"/>
    <w:multiLevelType w:val="hybridMultilevel"/>
    <w:tmpl w:val="20A0FEE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48D979E5"/>
    <w:multiLevelType w:val="hybridMultilevel"/>
    <w:tmpl w:val="0BF888C0"/>
    <w:lvl w:ilvl="0" w:tplc="E54AC3EC">
      <w:start w:val="1"/>
      <w:numFmt w:val="decimal"/>
      <w:lvlText w:val="(%1)"/>
      <w:lvlJc w:val="left"/>
      <w:pPr>
        <w:ind w:left="720" w:hanging="360"/>
      </w:pPr>
      <w:rPr>
        <w:rFonts w:ascii="Times New Roman" w:eastAsia="Times New Roman"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4C3373C5"/>
    <w:multiLevelType w:val="hybridMultilevel"/>
    <w:tmpl w:val="175A5C8C"/>
    <w:lvl w:ilvl="0" w:tplc="BDDA0448">
      <w:start w:val="1"/>
      <w:numFmt w:val="bullet"/>
      <w:lvlText w:val=""/>
      <w:lvlJc w:val="left"/>
      <w:pPr>
        <w:ind w:left="720" w:hanging="360"/>
      </w:pPr>
      <w:rPr>
        <w:rFonts w:ascii="Symbol" w:hAnsi="Symbol"/>
      </w:rPr>
    </w:lvl>
    <w:lvl w:ilvl="1" w:tplc="B1E4FD5C">
      <w:start w:val="1"/>
      <w:numFmt w:val="bullet"/>
      <w:lvlText w:val=""/>
      <w:lvlJc w:val="left"/>
      <w:pPr>
        <w:ind w:left="720" w:hanging="360"/>
      </w:pPr>
      <w:rPr>
        <w:rFonts w:ascii="Symbol" w:hAnsi="Symbol"/>
      </w:rPr>
    </w:lvl>
    <w:lvl w:ilvl="2" w:tplc="6144F3C0">
      <w:start w:val="1"/>
      <w:numFmt w:val="bullet"/>
      <w:lvlText w:val=""/>
      <w:lvlJc w:val="left"/>
      <w:pPr>
        <w:ind w:left="720" w:hanging="360"/>
      </w:pPr>
      <w:rPr>
        <w:rFonts w:ascii="Symbol" w:hAnsi="Symbol"/>
      </w:rPr>
    </w:lvl>
    <w:lvl w:ilvl="3" w:tplc="93F21512">
      <w:start w:val="1"/>
      <w:numFmt w:val="bullet"/>
      <w:lvlText w:val=""/>
      <w:lvlJc w:val="left"/>
      <w:pPr>
        <w:ind w:left="720" w:hanging="360"/>
      </w:pPr>
      <w:rPr>
        <w:rFonts w:ascii="Symbol" w:hAnsi="Symbol"/>
      </w:rPr>
    </w:lvl>
    <w:lvl w:ilvl="4" w:tplc="9BBE696E">
      <w:start w:val="1"/>
      <w:numFmt w:val="bullet"/>
      <w:lvlText w:val=""/>
      <w:lvlJc w:val="left"/>
      <w:pPr>
        <w:ind w:left="720" w:hanging="360"/>
      </w:pPr>
      <w:rPr>
        <w:rFonts w:ascii="Symbol" w:hAnsi="Symbol"/>
      </w:rPr>
    </w:lvl>
    <w:lvl w:ilvl="5" w:tplc="329254FC">
      <w:start w:val="1"/>
      <w:numFmt w:val="bullet"/>
      <w:lvlText w:val=""/>
      <w:lvlJc w:val="left"/>
      <w:pPr>
        <w:ind w:left="720" w:hanging="360"/>
      </w:pPr>
      <w:rPr>
        <w:rFonts w:ascii="Symbol" w:hAnsi="Symbol"/>
      </w:rPr>
    </w:lvl>
    <w:lvl w:ilvl="6" w:tplc="A0CE71D6">
      <w:start w:val="1"/>
      <w:numFmt w:val="bullet"/>
      <w:lvlText w:val=""/>
      <w:lvlJc w:val="left"/>
      <w:pPr>
        <w:ind w:left="720" w:hanging="360"/>
      </w:pPr>
      <w:rPr>
        <w:rFonts w:ascii="Symbol" w:hAnsi="Symbol"/>
      </w:rPr>
    </w:lvl>
    <w:lvl w:ilvl="7" w:tplc="990A8012">
      <w:start w:val="1"/>
      <w:numFmt w:val="bullet"/>
      <w:lvlText w:val=""/>
      <w:lvlJc w:val="left"/>
      <w:pPr>
        <w:ind w:left="720" w:hanging="360"/>
      </w:pPr>
      <w:rPr>
        <w:rFonts w:ascii="Symbol" w:hAnsi="Symbol"/>
      </w:rPr>
    </w:lvl>
    <w:lvl w:ilvl="8" w:tplc="94BEACB6">
      <w:start w:val="1"/>
      <w:numFmt w:val="bullet"/>
      <w:lvlText w:val=""/>
      <w:lvlJc w:val="left"/>
      <w:pPr>
        <w:ind w:left="720" w:hanging="360"/>
      </w:pPr>
      <w:rPr>
        <w:rFonts w:ascii="Symbol" w:hAnsi="Symbol"/>
      </w:rPr>
    </w:lvl>
  </w:abstractNum>
  <w:abstractNum w:abstractNumId="27" w15:restartNumberingAfterBreak="0">
    <w:nsid w:val="55BD0564"/>
    <w:multiLevelType w:val="hybridMultilevel"/>
    <w:tmpl w:val="FF2A9E0E"/>
    <w:lvl w:ilvl="0" w:tplc="141A000F">
      <w:start w:val="1"/>
      <w:numFmt w:val="decimal"/>
      <w:lvlText w:val="%1."/>
      <w:lvlJc w:val="left"/>
      <w:pPr>
        <w:tabs>
          <w:tab w:val="num" w:pos="720"/>
        </w:tabs>
        <w:ind w:left="720" w:hanging="360"/>
      </w:pPr>
    </w:lvl>
    <w:lvl w:ilvl="1" w:tplc="141A0019">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8" w15:restartNumberingAfterBreak="0">
    <w:nsid w:val="56596DFE"/>
    <w:multiLevelType w:val="hybridMultilevel"/>
    <w:tmpl w:val="E0DAD130"/>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5A5C42F0"/>
    <w:multiLevelType w:val="hybridMultilevel"/>
    <w:tmpl w:val="77AA21DA"/>
    <w:lvl w:ilvl="0" w:tplc="E54AC3EC">
      <w:start w:val="1"/>
      <w:numFmt w:val="decimal"/>
      <w:lvlText w:val="(%1)"/>
      <w:lvlJc w:val="left"/>
      <w:pPr>
        <w:ind w:left="360" w:hanging="360"/>
      </w:pPr>
      <w:rPr>
        <w:rFonts w:ascii="Times New Roman" w:eastAsia="Times New Roman" w:hAnsi="Times New Roman" w:cs="Times New Roman"/>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0" w15:restartNumberingAfterBreak="0">
    <w:nsid w:val="5DEB48D9"/>
    <w:multiLevelType w:val="hybridMultilevel"/>
    <w:tmpl w:val="C9E28EDA"/>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31" w15:restartNumberingAfterBreak="0">
    <w:nsid w:val="614D104B"/>
    <w:multiLevelType w:val="hybridMultilevel"/>
    <w:tmpl w:val="66344F38"/>
    <w:lvl w:ilvl="0" w:tplc="141A0017">
      <w:start w:val="1"/>
      <w:numFmt w:val="lowerLetter"/>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2" w15:restartNumberingAfterBreak="0">
    <w:nsid w:val="723073BE"/>
    <w:multiLevelType w:val="hybridMultilevel"/>
    <w:tmpl w:val="1388C5D6"/>
    <w:lvl w:ilvl="0" w:tplc="470CF762">
      <w:start w:val="1"/>
      <w:numFmt w:val="bullet"/>
      <w:lvlText w:val=""/>
      <w:lvlJc w:val="left"/>
      <w:pPr>
        <w:ind w:left="720" w:hanging="360"/>
      </w:pPr>
      <w:rPr>
        <w:rFonts w:ascii="Symbol" w:hAnsi="Symbol"/>
      </w:rPr>
    </w:lvl>
    <w:lvl w:ilvl="1" w:tplc="F94A2FA0">
      <w:start w:val="1"/>
      <w:numFmt w:val="bullet"/>
      <w:lvlText w:val=""/>
      <w:lvlJc w:val="left"/>
      <w:pPr>
        <w:ind w:left="720" w:hanging="360"/>
      </w:pPr>
      <w:rPr>
        <w:rFonts w:ascii="Symbol" w:hAnsi="Symbol"/>
      </w:rPr>
    </w:lvl>
    <w:lvl w:ilvl="2" w:tplc="536CBCB4">
      <w:start w:val="1"/>
      <w:numFmt w:val="bullet"/>
      <w:lvlText w:val=""/>
      <w:lvlJc w:val="left"/>
      <w:pPr>
        <w:ind w:left="720" w:hanging="360"/>
      </w:pPr>
      <w:rPr>
        <w:rFonts w:ascii="Symbol" w:hAnsi="Symbol"/>
      </w:rPr>
    </w:lvl>
    <w:lvl w:ilvl="3" w:tplc="CB0059C4">
      <w:start w:val="1"/>
      <w:numFmt w:val="bullet"/>
      <w:lvlText w:val=""/>
      <w:lvlJc w:val="left"/>
      <w:pPr>
        <w:ind w:left="720" w:hanging="360"/>
      </w:pPr>
      <w:rPr>
        <w:rFonts w:ascii="Symbol" w:hAnsi="Symbol"/>
      </w:rPr>
    </w:lvl>
    <w:lvl w:ilvl="4" w:tplc="4210E788">
      <w:start w:val="1"/>
      <w:numFmt w:val="bullet"/>
      <w:lvlText w:val=""/>
      <w:lvlJc w:val="left"/>
      <w:pPr>
        <w:ind w:left="720" w:hanging="360"/>
      </w:pPr>
      <w:rPr>
        <w:rFonts w:ascii="Symbol" w:hAnsi="Symbol"/>
      </w:rPr>
    </w:lvl>
    <w:lvl w:ilvl="5" w:tplc="02BA1336">
      <w:start w:val="1"/>
      <w:numFmt w:val="bullet"/>
      <w:lvlText w:val=""/>
      <w:lvlJc w:val="left"/>
      <w:pPr>
        <w:ind w:left="720" w:hanging="360"/>
      </w:pPr>
      <w:rPr>
        <w:rFonts w:ascii="Symbol" w:hAnsi="Symbol"/>
      </w:rPr>
    </w:lvl>
    <w:lvl w:ilvl="6" w:tplc="72C0C4D0">
      <w:start w:val="1"/>
      <w:numFmt w:val="bullet"/>
      <w:lvlText w:val=""/>
      <w:lvlJc w:val="left"/>
      <w:pPr>
        <w:ind w:left="720" w:hanging="360"/>
      </w:pPr>
      <w:rPr>
        <w:rFonts w:ascii="Symbol" w:hAnsi="Symbol"/>
      </w:rPr>
    </w:lvl>
    <w:lvl w:ilvl="7" w:tplc="E1E4A33A">
      <w:start w:val="1"/>
      <w:numFmt w:val="bullet"/>
      <w:lvlText w:val=""/>
      <w:lvlJc w:val="left"/>
      <w:pPr>
        <w:ind w:left="720" w:hanging="360"/>
      </w:pPr>
      <w:rPr>
        <w:rFonts w:ascii="Symbol" w:hAnsi="Symbol"/>
      </w:rPr>
    </w:lvl>
    <w:lvl w:ilvl="8" w:tplc="7A742BD8">
      <w:start w:val="1"/>
      <w:numFmt w:val="bullet"/>
      <w:lvlText w:val=""/>
      <w:lvlJc w:val="left"/>
      <w:pPr>
        <w:ind w:left="720" w:hanging="360"/>
      </w:pPr>
      <w:rPr>
        <w:rFonts w:ascii="Symbol" w:hAnsi="Symbol"/>
      </w:rPr>
    </w:lvl>
  </w:abstractNum>
  <w:abstractNum w:abstractNumId="33" w15:restartNumberingAfterBreak="0">
    <w:nsid w:val="7EC806A0"/>
    <w:multiLevelType w:val="hybridMultilevel"/>
    <w:tmpl w:val="D2AEED84"/>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1"/>
  </w:num>
  <w:num w:numId="4">
    <w:abstractNumId w:val="28"/>
  </w:num>
  <w:num w:numId="5">
    <w:abstractNumId w:val="7"/>
  </w:num>
  <w:num w:numId="6">
    <w:abstractNumId w:val="30"/>
  </w:num>
  <w:num w:numId="7">
    <w:abstractNumId w:val="15"/>
  </w:num>
  <w:num w:numId="8">
    <w:abstractNumId w:val="5"/>
  </w:num>
  <w:num w:numId="9">
    <w:abstractNumId w:val="22"/>
  </w:num>
  <w:num w:numId="10">
    <w:abstractNumId w:val="14"/>
  </w:num>
  <w:num w:numId="11">
    <w:abstractNumId w:val="10"/>
  </w:num>
  <w:num w:numId="12">
    <w:abstractNumId w:val="16"/>
  </w:num>
  <w:num w:numId="13">
    <w:abstractNumId w:val="9"/>
  </w:num>
  <w:num w:numId="14">
    <w:abstractNumId w:val="20"/>
  </w:num>
  <w:num w:numId="15">
    <w:abstractNumId w:val="1"/>
  </w:num>
  <w:num w:numId="16">
    <w:abstractNumId w:val="33"/>
  </w:num>
  <w:num w:numId="17">
    <w:abstractNumId w:val="2"/>
  </w:num>
  <w:num w:numId="18">
    <w:abstractNumId w:val="29"/>
  </w:num>
  <w:num w:numId="19">
    <w:abstractNumId w:val="0"/>
  </w:num>
  <w:num w:numId="20">
    <w:abstractNumId w:val="8"/>
  </w:num>
  <w:num w:numId="21">
    <w:abstractNumId w:val="25"/>
  </w:num>
  <w:num w:numId="22">
    <w:abstractNumId w:val="19"/>
  </w:num>
  <w:num w:numId="23">
    <w:abstractNumId w:val="31"/>
  </w:num>
  <w:num w:numId="24">
    <w:abstractNumId w:val="24"/>
  </w:num>
  <w:num w:numId="25">
    <w:abstractNumId w:val="3"/>
  </w:num>
  <w:num w:numId="26">
    <w:abstractNumId w:val="17"/>
  </w:num>
  <w:num w:numId="27">
    <w:abstractNumId w:val="32"/>
  </w:num>
  <w:num w:numId="28">
    <w:abstractNumId w:val="13"/>
  </w:num>
  <w:num w:numId="29">
    <w:abstractNumId w:val="12"/>
  </w:num>
  <w:num w:numId="30">
    <w:abstractNumId w:val="11"/>
  </w:num>
  <w:num w:numId="31">
    <w:abstractNumId w:val="23"/>
  </w:num>
  <w:num w:numId="32">
    <w:abstractNumId w:val="18"/>
  </w:num>
  <w:num w:numId="33">
    <w:abstractNumId w:val="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BFE"/>
    <w:rsid w:val="00132B58"/>
    <w:rsid w:val="00216A84"/>
    <w:rsid w:val="0021767C"/>
    <w:rsid w:val="0025036A"/>
    <w:rsid w:val="002571E2"/>
    <w:rsid w:val="00341472"/>
    <w:rsid w:val="00497B74"/>
    <w:rsid w:val="00546ADD"/>
    <w:rsid w:val="005A00CE"/>
    <w:rsid w:val="005A0254"/>
    <w:rsid w:val="00646C04"/>
    <w:rsid w:val="006506DD"/>
    <w:rsid w:val="006571C5"/>
    <w:rsid w:val="0066310B"/>
    <w:rsid w:val="006C7731"/>
    <w:rsid w:val="006E219A"/>
    <w:rsid w:val="00717BED"/>
    <w:rsid w:val="0078434E"/>
    <w:rsid w:val="007F75AD"/>
    <w:rsid w:val="00961D45"/>
    <w:rsid w:val="009F1475"/>
    <w:rsid w:val="00A02461"/>
    <w:rsid w:val="00AC44A6"/>
    <w:rsid w:val="00B20EFD"/>
    <w:rsid w:val="00B52FA6"/>
    <w:rsid w:val="00C20BA7"/>
    <w:rsid w:val="00CF5A73"/>
    <w:rsid w:val="00D47243"/>
    <w:rsid w:val="00D80419"/>
    <w:rsid w:val="00E9073B"/>
    <w:rsid w:val="00EA7D35"/>
    <w:rsid w:val="00EE4BFE"/>
    <w:rsid w:val="00F04FC9"/>
    <w:rsid w:val="00F67329"/>
    <w:rsid w:val="00FE254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E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360" w:lineRule="auto"/>
    </w:pPr>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link w:val="EndnoteTextChar"/>
    <w:rPr>
      <w:sz w:val="20"/>
      <w:szCs w:val="20"/>
    </w:rPr>
  </w:style>
  <w:style w:type="character" w:customStyle="1" w:styleId="EndnoteTextChar">
    <w:name w:val="Endnote Text Char"/>
    <w:link w:val="EndnoteText"/>
    <w:rPr>
      <w:lang w:val="bs-Latn-BA" w:eastAsia="bs-Latn-BA"/>
    </w:rPr>
  </w:style>
  <w:style w:type="character" w:styleId="EndnoteReference">
    <w:name w:val="endnote reference"/>
    <w:rPr>
      <w:vertAlign w:val="superscript"/>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lang w:val="bs-Latn-BA" w:eastAsia="bs-Latn-BA"/>
    </w:rPr>
  </w:style>
  <w:style w:type="character" w:styleId="FootnoteReference">
    <w:name w:val="footnote reference"/>
    <w:rPr>
      <w:vertAlign w:val="superscript"/>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Cambria" w:eastAsia="Times New Roman" w:hAnsi="Cambria" w:cs="Times New Roman"/>
      <w:b/>
      <w:bCs/>
      <w:kern w:val="32"/>
      <w:sz w:val="32"/>
      <w:szCs w:val="32"/>
      <w:lang w:val="bs-Latn-BA" w:eastAsia="bs-Latn-BA"/>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Spacing">
    <w:name w:val="No Spacing"/>
    <w:uiPriority w:val="1"/>
    <w:qFormat/>
    <w:rPr>
      <w:sz w:val="24"/>
      <w:szCs w:val="24"/>
    </w:rPr>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1874">
      <w:bodyDiv w:val="1"/>
      <w:marLeft w:val="0"/>
      <w:marRight w:val="0"/>
      <w:marTop w:val="0"/>
      <w:marBottom w:val="0"/>
      <w:divBdr>
        <w:top w:val="none" w:sz="0" w:space="0" w:color="auto"/>
        <w:left w:val="none" w:sz="0" w:space="0" w:color="auto"/>
        <w:bottom w:val="none" w:sz="0" w:space="0" w:color="auto"/>
        <w:right w:val="none" w:sz="0" w:space="0" w:color="auto"/>
      </w:divBdr>
    </w:div>
    <w:div w:id="147475966">
      <w:bodyDiv w:val="1"/>
      <w:marLeft w:val="0"/>
      <w:marRight w:val="0"/>
      <w:marTop w:val="0"/>
      <w:marBottom w:val="0"/>
      <w:divBdr>
        <w:top w:val="none" w:sz="0" w:space="0" w:color="auto"/>
        <w:left w:val="none" w:sz="0" w:space="0" w:color="auto"/>
        <w:bottom w:val="none" w:sz="0" w:space="0" w:color="auto"/>
        <w:right w:val="none" w:sz="0" w:space="0" w:color="auto"/>
      </w:divBdr>
    </w:div>
    <w:div w:id="299968011">
      <w:bodyDiv w:val="1"/>
      <w:marLeft w:val="0"/>
      <w:marRight w:val="0"/>
      <w:marTop w:val="0"/>
      <w:marBottom w:val="0"/>
      <w:divBdr>
        <w:top w:val="none" w:sz="0" w:space="0" w:color="auto"/>
        <w:left w:val="none" w:sz="0" w:space="0" w:color="auto"/>
        <w:bottom w:val="none" w:sz="0" w:space="0" w:color="auto"/>
        <w:right w:val="none" w:sz="0" w:space="0" w:color="auto"/>
      </w:divBdr>
    </w:div>
    <w:div w:id="317853549">
      <w:bodyDiv w:val="1"/>
      <w:marLeft w:val="0"/>
      <w:marRight w:val="0"/>
      <w:marTop w:val="0"/>
      <w:marBottom w:val="0"/>
      <w:divBdr>
        <w:top w:val="none" w:sz="0" w:space="0" w:color="auto"/>
        <w:left w:val="none" w:sz="0" w:space="0" w:color="auto"/>
        <w:bottom w:val="none" w:sz="0" w:space="0" w:color="auto"/>
        <w:right w:val="none" w:sz="0" w:space="0" w:color="auto"/>
      </w:divBdr>
    </w:div>
    <w:div w:id="444931139">
      <w:bodyDiv w:val="1"/>
      <w:marLeft w:val="0"/>
      <w:marRight w:val="0"/>
      <w:marTop w:val="0"/>
      <w:marBottom w:val="0"/>
      <w:divBdr>
        <w:top w:val="none" w:sz="0" w:space="0" w:color="auto"/>
        <w:left w:val="none" w:sz="0" w:space="0" w:color="auto"/>
        <w:bottom w:val="none" w:sz="0" w:space="0" w:color="auto"/>
        <w:right w:val="none" w:sz="0" w:space="0" w:color="auto"/>
      </w:divBdr>
    </w:div>
    <w:div w:id="536968262">
      <w:bodyDiv w:val="1"/>
      <w:marLeft w:val="0"/>
      <w:marRight w:val="0"/>
      <w:marTop w:val="0"/>
      <w:marBottom w:val="0"/>
      <w:divBdr>
        <w:top w:val="none" w:sz="0" w:space="0" w:color="auto"/>
        <w:left w:val="none" w:sz="0" w:space="0" w:color="auto"/>
        <w:bottom w:val="none" w:sz="0" w:space="0" w:color="auto"/>
        <w:right w:val="none" w:sz="0" w:space="0" w:color="auto"/>
      </w:divBdr>
    </w:div>
    <w:div w:id="615403780">
      <w:bodyDiv w:val="1"/>
      <w:marLeft w:val="0"/>
      <w:marRight w:val="0"/>
      <w:marTop w:val="0"/>
      <w:marBottom w:val="0"/>
      <w:divBdr>
        <w:top w:val="none" w:sz="0" w:space="0" w:color="auto"/>
        <w:left w:val="none" w:sz="0" w:space="0" w:color="auto"/>
        <w:bottom w:val="none" w:sz="0" w:space="0" w:color="auto"/>
        <w:right w:val="none" w:sz="0" w:space="0" w:color="auto"/>
      </w:divBdr>
    </w:div>
    <w:div w:id="645744489">
      <w:bodyDiv w:val="1"/>
      <w:marLeft w:val="0"/>
      <w:marRight w:val="0"/>
      <w:marTop w:val="0"/>
      <w:marBottom w:val="0"/>
      <w:divBdr>
        <w:top w:val="none" w:sz="0" w:space="0" w:color="auto"/>
        <w:left w:val="none" w:sz="0" w:space="0" w:color="auto"/>
        <w:bottom w:val="none" w:sz="0" w:space="0" w:color="auto"/>
        <w:right w:val="none" w:sz="0" w:space="0" w:color="auto"/>
      </w:divBdr>
    </w:div>
    <w:div w:id="648553037">
      <w:bodyDiv w:val="1"/>
      <w:marLeft w:val="0"/>
      <w:marRight w:val="0"/>
      <w:marTop w:val="0"/>
      <w:marBottom w:val="0"/>
      <w:divBdr>
        <w:top w:val="none" w:sz="0" w:space="0" w:color="auto"/>
        <w:left w:val="none" w:sz="0" w:space="0" w:color="auto"/>
        <w:bottom w:val="none" w:sz="0" w:space="0" w:color="auto"/>
        <w:right w:val="none" w:sz="0" w:space="0" w:color="auto"/>
      </w:divBdr>
    </w:div>
    <w:div w:id="730464598">
      <w:bodyDiv w:val="1"/>
      <w:marLeft w:val="0"/>
      <w:marRight w:val="0"/>
      <w:marTop w:val="0"/>
      <w:marBottom w:val="0"/>
      <w:divBdr>
        <w:top w:val="none" w:sz="0" w:space="0" w:color="auto"/>
        <w:left w:val="none" w:sz="0" w:space="0" w:color="auto"/>
        <w:bottom w:val="none" w:sz="0" w:space="0" w:color="auto"/>
        <w:right w:val="none" w:sz="0" w:space="0" w:color="auto"/>
      </w:divBdr>
    </w:div>
    <w:div w:id="780489115">
      <w:bodyDiv w:val="1"/>
      <w:marLeft w:val="0"/>
      <w:marRight w:val="0"/>
      <w:marTop w:val="0"/>
      <w:marBottom w:val="0"/>
      <w:divBdr>
        <w:top w:val="none" w:sz="0" w:space="0" w:color="auto"/>
        <w:left w:val="none" w:sz="0" w:space="0" w:color="auto"/>
        <w:bottom w:val="none" w:sz="0" w:space="0" w:color="auto"/>
        <w:right w:val="none" w:sz="0" w:space="0" w:color="auto"/>
      </w:divBdr>
    </w:div>
    <w:div w:id="843519005">
      <w:bodyDiv w:val="1"/>
      <w:marLeft w:val="0"/>
      <w:marRight w:val="0"/>
      <w:marTop w:val="0"/>
      <w:marBottom w:val="0"/>
      <w:divBdr>
        <w:top w:val="none" w:sz="0" w:space="0" w:color="auto"/>
        <w:left w:val="none" w:sz="0" w:space="0" w:color="auto"/>
        <w:bottom w:val="none" w:sz="0" w:space="0" w:color="auto"/>
        <w:right w:val="none" w:sz="0" w:space="0" w:color="auto"/>
      </w:divBdr>
    </w:div>
    <w:div w:id="1046369972">
      <w:bodyDiv w:val="1"/>
      <w:marLeft w:val="0"/>
      <w:marRight w:val="0"/>
      <w:marTop w:val="0"/>
      <w:marBottom w:val="0"/>
      <w:divBdr>
        <w:top w:val="none" w:sz="0" w:space="0" w:color="auto"/>
        <w:left w:val="none" w:sz="0" w:space="0" w:color="auto"/>
        <w:bottom w:val="none" w:sz="0" w:space="0" w:color="auto"/>
        <w:right w:val="none" w:sz="0" w:space="0" w:color="auto"/>
      </w:divBdr>
    </w:div>
    <w:div w:id="1094671329">
      <w:bodyDiv w:val="1"/>
      <w:marLeft w:val="0"/>
      <w:marRight w:val="0"/>
      <w:marTop w:val="0"/>
      <w:marBottom w:val="0"/>
      <w:divBdr>
        <w:top w:val="none" w:sz="0" w:space="0" w:color="auto"/>
        <w:left w:val="none" w:sz="0" w:space="0" w:color="auto"/>
        <w:bottom w:val="none" w:sz="0" w:space="0" w:color="auto"/>
        <w:right w:val="none" w:sz="0" w:space="0" w:color="auto"/>
      </w:divBdr>
    </w:div>
    <w:div w:id="1163275521">
      <w:bodyDiv w:val="1"/>
      <w:marLeft w:val="0"/>
      <w:marRight w:val="0"/>
      <w:marTop w:val="0"/>
      <w:marBottom w:val="0"/>
      <w:divBdr>
        <w:top w:val="none" w:sz="0" w:space="0" w:color="auto"/>
        <w:left w:val="none" w:sz="0" w:space="0" w:color="auto"/>
        <w:bottom w:val="none" w:sz="0" w:space="0" w:color="auto"/>
        <w:right w:val="none" w:sz="0" w:space="0" w:color="auto"/>
      </w:divBdr>
    </w:div>
    <w:div w:id="1482966595">
      <w:bodyDiv w:val="1"/>
      <w:marLeft w:val="0"/>
      <w:marRight w:val="0"/>
      <w:marTop w:val="0"/>
      <w:marBottom w:val="0"/>
      <w:divBdr>
        <w:top w:val="none" w:sz="0" w:space="0" w:color="auto"/>
        <w:left w:val="none" w:sz="0" w:space="0" w:color="auto"/>
        <w:bottom w:val="none" w:sz="0" w:space="0" w:color="auto"/>
        <w:right w:val="none" w:sz="0" w:space="0" w:color="auto"/>
      </w:divBdr>
    </w:div>
    <w:div w:id="1513371562">
      <w:bodyDiv w:val="1"/>
      <w:marLeft w:val="0"/>
      <w:marRight w:val="0"/>
      <w:marTop w:val="0"/>
      <w:marBottom w:val="0"/>
      <w:divBdr>
        <w:top w:val="none" w:sz="0" w:space="0" w:color="auto"/>
        <w:left w:val="none" w:sz="0" w:space="0" w:color="auto"/>
        <w:bottom w:val="none" w:sz="0" w:space="0" w:color="auto"/>
        <w:right w:val="none" w:sz="0" w:space="0" w:color="auto"/>
      </w:divBdr>
    </w:div>
    <w:div w:id="1583098675">
      <w:bodyDiv w:val="1"/>
      <w:marLeft w:val="0"/>
      <w:marRight w:val="0"/>
      <w:marTop w:val="0"/>
      <w:marBottom w:val="0"/>
      <w:divBdr>
        <w:top w:val="none" w:sz="0" w:space="0" w:color="auto"/>
        <w:left w:val="none" w:sz="0" w:space="0" w:color="auto"/>
        <w:bottom w:val="none" w:sz="0" w:space="0" w:color="auto"/>
        <w:right w:val="none" w:sz="0" w:space="0" w:color="auto"/>
      </w:divBdr>
    </w:div>
    <w:div w:id="1792043492">
      <w:bodyDiv w:val="1"/>
      <w:marLeft w:val="0"/>
      <w:marRight w:val="0"/>
      <w:marTop w:val="0"/>
      <w:marBottom w:val="0"/>
      <w:divBdr>
        <w:top w:val="none" w:sz="0" w:space="0" w:color="auto"/>
        <w:left w:val="none" w:sz="0" w:space="0" w:color="auto"/>
        <w:bottom w:val="none" w:sz="0" w:space="0" w:color="auto"/>
        <w:right w:val="none" w:sz="0" w:space="0" w:color="auto"/>
      </w:divBdr>
    </w:div>
    <w:div w:id="18053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2321-D06F-45A5-86C7-D5BF83CA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2023-07-03T15:52:00Z</dcterms:created>
  <dcterms:modified xsi:type="dcterms:W3CDTF">2023-07-06T12:40:00Z</dcterms:modified>
</cp:coreProperties>
</file>