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Temeljem članka 2. stavak 3. točka c), članka 7. točka b), članaka 58., 68. i 70. Zakona o Centralnoj banci Bosne i Hercegovine (“Službeni glasnik BiH“, br. 1/97, 29/02, 8/03 13/03, 14/03, 9/05, 76/06 i 32/07) i članaka 5., 12., 14. i 21. Odluke o nadgledanju funkcioniranja platnih sustava (“Službeni glasnik BiH“, br. 76/22), Upravno vijeće Centralne banke Bosne i Hercegovine, na 12. sjednici održanoj dana 14.08.2024. godine, donosi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kern w:val="20"/>
          <w:sz w:val="24"/>
          <w:szCs w:val="24"/>
          <w:highlight w:val="yellow"/>
          <w:lang w:val="bs-Latn-BA" w:eastAsia="en-GB"/>
        </w:rPr>
      </w:pP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kern w:val="20"/>
          <w:sz w:val="24"/>
          <w:szCs w:val="24"/>
          <w:highlight w:val="yellow"/>
          <w:lang w:val="bs-Latn-BA" w:eastAsia="en-GB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  <w:lang w:val="bs-Latn-BA"/>
        </w:rPr>
      </w:pPr>
      <w:r>
        <w:rPr>
          <w:rFonts w:ascii="Times New Roman" w:hAnsi="Times New Roman" w:cs="Times New Roman"/>
          <w:b/>
          <w:caps/>
          <w:sz w:val="24"/>
          <w:szCs w:val="24"/>
          <w:lang w:val="bs-Latn-BA"/>
        </w:rPr>
        <w:t>Odluku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  <w:lang w:val="bs-Latn-BA"/>
        </w:rPr>
      </w:pPr>
      <w:r>
        <w:rPr>
          <w:rFonts w:ascii="Times New Roman" w:hAnsi="Times New Roman" w:cs="Times New Roman"/>
          <w:b/>
          <w:caps/>
          <w:sz w:val="24"/>
          <w:szCs w:val="24"/>
          <w:lang w:val="bs-Latn-BA"/>
        </w:rPr>
        <w:t>o dostavljanju podataka o funkcioniRanju platnog sustava</w:t>
      </w: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</w:pP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bs-Latn-BA"/>
        </w:rPr>
      </w:pPr>
      <w:r>
        <w:rPr>
          <w:rFonts w:ascii="Times New Roman" w:hAnsi="Times New Roman" w:cs="Times New Roman"/>
          <w:b/>
          <w:sz w:val="24"/>
          <w:szCs w:val="24"/>
          <w:lang w:val="bs-Latn-BA"/>
        </w:rPr>
        <w:t>Članak 1.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bs-Latn-BA"/>
        </w:rPr>
      </w:pPr>
      <w:r>
        <w:rPr>
          <w:rFonts w:ascii="Times New Roman" w:hAnsi="Times New Roman" w:cs="Times New Roman"/>
          <w:b/>
          <w:sz w:val="24"/>
          <w:szCs w:val="24"/>
          <w:lang w:val="bs-Latn-BA"/>
        </w:rPr>
        <w:t>(Predmet odluke)</w:t>
      </w:r>
    </w:p>
    <w:p>
      <w:pPr>
        <w:spacing w:after="0" w:line="240" w:lineRule="auto"/>
        <w:jc w:val="both"/>
        <w:rPr>
          <w:rFonts w:ascii="Times New Roman" w:hAnsi="Times New Roman" w:cs="Times New Roman"/>
          <w:kern w:val="20"/>
          <w:sz w:val="24"/>
          <w:szCs w:val="24"/>
          <w:lang w:val="bs-Latn-BA" w:eastAsia="hr-HR"/>
        </w:rPr>
      </w:pPr>
      <w:r>
        <w:rPr>
          <w:rFonts w:ascii="Times New Roman" w:hAnsi="Times New Roman" w:cs="Times New Roman"/>
          <w:kern w:val="20"/>
          <w:sz w:val="24"/>
          <w:szCs w:val="24"/>
          <w:lang w:val="bs-Latn-BA" w:eastAsia="hr-HR"/>
        </w:rPr>
        <w:t xml:space="preserve">Ovom Odlukom detaljnije se uređuje sadržaj i način dostavljanja </w:t>
      </w:r>
      <w:proofErr w:type="spellStart"/>
      <w:r>
        <w:rPr>
          <w:rFonts w:ascii="Times New Roman" w:hAnsi="Times New Roman" w:cs="Times New Roman"/>
          <w:kern w:val="20"/>
          <w:sz w:val="24"/>
          <w:szCs w:val="24"/>
          <w:lang w:val="bs-Latn-BA" w:eastAsia="hr-HR"/>
        </w:rPr>
        <w:t>izvješća</w:t>
      </w:r>
      <w:proofErr w:type="spellEnd"/>
      <w:r>
        <w:rPr>
          <w:rFonts w:ascii="Times New Roman" w:hAnsi="Times New Roman" w:cs="Times New Roman"/>
          <w:kern w:val="20"/>
          <w:sz w:val="24"/>
          <w:szCs w:val="24"/>
          <w:lang w:val="bs-Latn-BA" w:eastAsia="hr-HR"/>
        </w:rPr>
        <w:t>, dokumenata i drugih podataka od strane nadgledanih platnih sistema koji su određeni člankom 2. Odluke o nadgledanju funkcioniranja platnih sustava („Službeni glasnik BiH“, br. 76/22), odnosno platnih sustava koje Centralna banka Bosne i Hercegovine u skladu sa člankom 2 stavak 3 točka c Zakona o Centralnoj banci Bosne i Hercegovine potpomaže ili uspostavlja i održava, klasificirani u skladu sa člankom 6 Odluke o nadgledanje funkcionisanja platnih sistema („Službeni glasnik BiH“, br. 76/22).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kern w:val="20"/>
          <w:sz w:val="24"/>
          <w:szCs w:val="24"/>
          <w:lang w:val="bs-Latn-BA" w:eastAsia="hr-HR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bs-Latn-BA"/>
        </w:rPr>
      </w:pPr>
      <w:r>
        <w:rPr>
          <w:rFonts w:ascii="Times New Roman" w:hAnsi="Times New Roman" w:cs="Times New Roman"/>
          <w:b/>
          <w:sz w:val="24"/>
          <w:szCs w:val="24"/>
          <w:lang w:val="bs-Latn-BA"/>
        </w:rPr>
        <w:t>Članak 2.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bs-Latn-BA"/>
        </w:rPr>
      </w:pPr>
      <w:r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(Vrste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bs-Latn-BA"/>
        </w:rPr>
        <w:t>izvješća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bs-Latn-BA"/>
        </w:rPr>
        <w:t>, dokumenata i podataka)</w:t>
      </w:r>
    </w:p>
    <w:p>
      <w:pPr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val="bs-Latn-BA" w:eastAsia="ar-SA"/>
        </w:rPr>
      </w:pPr>
      <w:r>
        <w:rPr>
          <w:rFonts w:ascii="Times New Roman" w:hAnsi="Times New Roman" w:cs="Times New Roman"/>
          <w:kern w:val="1"/>
          <w:sz w:val="24"/>
          <w:szCs w:val="24"/>
          <w:lang w:val="bs-Latn-BA" w:eastAsia="ar-SA"/>
        </w:rPr>
        <w:t xml:space="preserve">Nadgledani platni sustav priprema i dostavlja Centralnoj banci sljedeće vrste </w:t>
      </w:r>
      <w:proofErr w:type="spellStart"/>
      <w:r>
        <w:rPr>
          <w:rFonts w:ascii="Times New Roman" w:hAnsi="Times New Roman" w:cs="Times New Roman"/>
          <w:kern w:val="1"/>
          <w:sz w:val="24"/>
          <w:szCs w:val="24"/>
          <w:lang w:val="bs-Latn-BA" w:eastAsia="ar-SA"/>
        </w:rPr>
        <w:t>izvješća</w:t>
      </w:r>
      <w:proofErr w:type="spellEnd"/>
      <w:r>
        <w:rPr>
          <w:rFonts w:ascii="Times New Roman" w:hAnsi="Times New Roman" w:cs="Times New Roman"/>
          <w:kern w:val="1"/>
          <w:sz w:val="24"/>
          <w:szCs w:val="24"/>
          <w:lang w:val="bs-Latn-BA" w:eastAsia="ar-SA"/>
        </w:rPr>
        <w:t>, dokumenata i podataka:</w:t>
      </w:r>
    </w:p>
    <w:p>
      <w:pPr>
        <w:pStyle w:val="ListParagraph"/>
        <w:numPr>
          <w:ilvl w:val="0"/>
          <w:numId w:val="8"/>
        </w:numPr>
        <w:jc w:val="both"/>
        <w:rPr>
          <w:kern w:val="1"/>
          <w:lang w:val="bs-Latn-BA" w:eastAsia="ar-SA"/>
        </w:rPr>
      </w:pPr>
      <w:bookmarkStart w:id="0" w:name="_Hlk150949433"/>
      <w:proofErr w:type="spellStart"/>
      <w:r>
        <w:rPr>
          <w:kern w:val="1"/>
          <w:lang w:val="bs-Latn-BA" w:eastAsia="ar-SA"/>
        </w:rPr>
        <w:t>Izvješće</w:t>
      </w:r>
      <w:proofErr w:type="spellEnd"/>
      <w:r>
        <w:rPr>
          <w:kern w:val="1"/>
          <w:lang w:val="bs-Latn-BA" w:eastAsia="ar-SA"/>
        </w:rPr>
        <w:t xml:space="preserve"> o funkcioniranju platnog sustava</w:t>
      </w:r>
      <w:bookmarkEnd w:id="0"/>
      <w:r>
        <w:rPr>
          <w:kern w:val="1"/>
          <w:lang w:val="bs-Latn-BA" w:eastAsia="ar-SA"/>
        </w:rPr>
        <w:t>;</w:t>
      </w:r>
    </w:p>
    <w:p>
      <w:pPr>
        <w:pStyle w:val="ListParagraph"/>
        <w:numPr>
          <w:ilvl w:val="0"/>
          <w:numId w:val="8"/>
        </w:numPr>
        <w:jc w:val="both"/>
        <w:rPr>
          <w:kern w:val="1"/>
          <w:lang w:val="bs-Latn-BA" w:eastAsia="ar-SA"/>
        </w:rPr>
      </w:pPr>
      <w:bookmarkStart w:id="1" w:name="_Hlk150949911"/>
      <w:proofErr w:type="spellStart"/>
      <w:r>
        <w:rPr>
          <w:kern w:val="1"/>
          <w:lang w:val="bs-Latn-BA" w:eastAsia="ar-SA"/>
        </w:rPr>
        <w:t>izvješća</w:t>
      </w:r>
      <w:proofErr w:type="spellEnd"/>
      <w:r>
        <w:rPr>
          <w:kern w:val="1"/>
          <w:lang w:val="bs-Latn-BA" w:eastAsia="ar-SA"/>
        </w:rPr>
        <w:t>, dokumenti i podaci o performansama, arhitekturi, promjenama arhitekture, sudionicima i ostalim bitnim aspektima funkcioniranja platnog sustava</w:t>
      </w:r>
      <w:bookmarkEnd w:id="1"/>
      <w:r>
        <w:rPr>
          <w:kern w:val="1"/>
          <w:lang w:val="bs-Latn-BA" w:eastAsia="ar-SA"/>
        </w:rPr>
        <w:t>;</w:t>
      </w:r>
    </w:p>
    <w:p>
      <w:pPr>
        <w:pStyle w:val="ListParagraph"/>
        <w:numPr>
          <w:ilvl w:val="0"/>
          <w:numId w:val="8"/>
        </w:numPr>
        <w:jc w:val="both"/>
        <w:rPr>
          <w:kern w:val="1"/>
          <w:lang w:val="bs-Latn-BA" w:eastAsia="ar-SA"/>
        </w:rPr>
      </w:pPr>
      <w:proofErr w:type="spellStart"/>
      <w:r>
        <w:rPr>
          <w:kern w:val="1"/>
          <w:lang w:val="bs-Latn-BA" w:eastAsia="ar-SA"/>
        </w:rPr>
        <w:t>izvješća</w:t>
      </w:r>
      <w:proofErr w:type="spellEnd"/>
      <w:r>
        <w:rPr>
          <w:kern w:val="1"/>
          <w:lang w:val="bs-Latn-BA" w:eastAsia="ar-SA"/>
        </w:rPr>
        <w:t xml:space="preserve"> o incidentu u platnom sustavu;</w:t>
      </w:r>
    </w:p>
    <w:p>
      <w:pPr>
        <w:pStyle w:val="ListParagraph"/>
        <w:numPr>
          <w:ilvl w:val="0"/>
          <w:numId w:val="8"/>
        </w:numPr>
        <w:jc w:val="both"/>
        <w:rPr>
          <w:kern w:val="1"/>
          <w:lang w:val="bs-Latn-BA" w:eastAsia="ar-SA"/>
        </w:rPr>
      </w:pPr>
      <w:proofErr w:type="spellStart"/>
      <w:r>
        <w:rPr>
          <w:kern w:val="1"/>
          <w:lang w:val="bs-Latn-BA" w:eastAsia="ar-SA"/>
        </w:rPr>
        <w:t>izvješća</w:t>
      </w:r>
      <w:proofErr w:type="spellEnd"/>
      <w:r>
        <w:rPr>
          <w:kern w:val="1"/>
          <w:lang w:val="bs-Latn-BA" w:eastAsia="ar-SA"/>
        </w:rPr>
        <w:t xml:space="preserve"> o upravljanju rizicima platnog sustava.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bs-Latn-BA"/>
        </w:rPr>
      </w:pPr>
      <w:r>
        <w:rPr>
          <w:rFonts w:ascii="Times New Roman" w:hAnsi="Times New Roman" w:cs="Times New Roman"/>
          <w:b/>
          <w:sz w:val="24"/>
          <w:szCs w:val="24"/>
          <w:lang w:val="bs-Latn-BA"/>
        </w:rPr>
        <w:t>Članak 3.</w:t>
      </w:r>
    </w:p>
    <w:p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bs-Latn-BA"/>
        </w:rPr>
      </w:pPr>
      <w:r>
        <w:rPr>
          <w:rFonts w:ascii="Times New Roman" w:hAnsi="Times New Roman" w:cs="Times New Roman"/>
          <w:b/>
          <w:sz w:val="24"/>
          <w:szCs w:val="24"/>
          <w:lang w:val="bs-Latn-BA"/>
        </w:rPr>
        <w:t>(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bs-Latn-BA"/>
        </w:rPr>
        <w:t>Izvješće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o funkcioniranju platnog sustava)</w:t>
      </w:r>
    </w:p>
    <w:p>
      <w:pPr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val="bs-Latn-BA" w:eastAsia="ar-SA"/>
        </w:rPr>
      </w:pPr>
      <w:r>
        <w:rPr>
          <w:rFonts w:ascii="Times New Roman" w:hAnsi="Times New Roman" w:cs="Times New Roman"/>
          <w:kern w:val="1"/>
          <w:sz w:val="24"/>
          <w:szCs w:val="24"/>
          <w:lang w:val="bs-Latn-BA" w:eastAsia="ar-SA"/>
        </w:rPr>
        <w:t xml:space="preserve">(1) Nadgledani platni sustav je dužan Centralnoj banci dostavljati </w:t>
      </w:r>
      <w:proofErr w:type="spellStart"/>
      <w:r>
        <w:rPr>
          <w:rFonts w:ascii="Times New Roman" w:hAnsi="Times New Roman" w:cs="Times New Roman"/>
          <w:kern w:val="1"/>
          <w:sz w:val="24"/>
          <w:szCs w:val="24"/>
          <w:lang w:val="bs-Latn-BA" w:eastAsia="ar-SA"/>
        </w:rPr>
        <w:t>izvješće</w:t>
      </w:r>
      <w:proofErr w:type="spellEnd"/>
      <w:r>
        <w:rPr>
          <w:rFonts w:ascii="Times New Roman" w:hAnsi="Times New Roman" w:cs="Times New Roman"/>
          <w:kern w:val="1"/>
          <w:sz w:val="24"/>
          <w:szCs w:val="24"/>
          <w:lang w:val="bs-Latn-BA" w:eastAsia="ar-SA"/>
        </w:rPr>
        <w:t xml:space="preserve"> o funkcioniranju platnog sustava koji obuhvata minimalno sljedeće kvantitativne i kvalitativne podatke:</w:t>
      </w:r>
    </w:p>
    <w:p>
      <w:pPr>
        <w:pStyle w:val="ListParagraph"/>
        <w:numPr>
          <w:ilvl w:val="0"/>
          <w:numId w:val="9"/>
        </w:numPr>
        <w:jc w:val="both"/>
        <w:rPr>
          <w:kern w:val="1"/>
          <w:lang w:val="bs-Latn-BA" w:eastAsia="ar-SA"/>
        </w:rPr>
      </w:pPr>
      <w:r>
        <w:rPr>
          <w:kern w:val="1"/>
          <w:lang w:val="bs-Latn-BA" w:eastAsia="ar-SA"/>
        </w:rPr>
        <w:t>popis sudionika (puni naziv sudionika iz rješenja o registraciji pravnog lica);</w:t>
      </w:r>
    </w:p>
    <w:p>
      <w:pPr>
        <w:pStyle w:val="ListParagraph"/>
        <w:numPr>
          <w:ilvl w:val="0"/>
          <w:numId w:val="9"/>
        </w:numPr>
        <w:jc w:val="both"/>
        <w:rPr>
          <w:kern w:val="1"/>
          <w:lang w:val="bs-Latn-BA" w:eastAsia="ar-SA"/>
        </w:rPr>
      </w:pPr>
      <w:r>
        <w:rPr>
          <w:kern w:val="1"/>
          <w:lang w:val="bs-Latn-BA" w:eastAsia="ar-SA"/>
        </w:rPr>
        <w:t>radni dani sustava u izvještajnom razdoblju (ukoliko sustav nije radio na dan koji nije propisan kao neradni dan pravilima rada sustava potrebno je navesti razlog);</w:t>
      </w:r>
    </w:p>
    <w:p>
      <w:pPr>
        <w:pStyle w:val="ListParagraph"/>
        <w:numPr>
          <w:ilvl w:val="0"/>
          <w:numId w:val="9"/>
        </w:numPr>
        <w:jc w:val="both"/>
        <w:rPr>
          <w:kern w:val="1"/>
          <w:lang w:val="bs-Latn-BA" w:eastAsia="ar-SA"/>
        </w:rPr>
      </w:pPr>
      <w:r>
        <w:rPr>
          <w:kern w:val="1"/>
          <w:lang w:val="bs-Latn-BA" w:eastAsia="ar-SA"/>
        </w:rPr>
        <w:t>broj i vrijednost izvršenih transakcija po danu;</w:t>
      </w:r>
    </w:p>
    <w:p>
      <w:pPr>
        <w:pStyle w:val="ListParagraph"/>
        <w:numPr>
          <w:ilvl w:val="0"/>
          <w:numId w:val="9"/>
        </w:numPr>
        <w:jc w:val="both"/>
        <w:rPr>
          <w:kern w:val="1"/>
          <w:lang w:val="bs-Latn-BA" w:eastAsia="ar-SA"/>
        </w:rPr>
      </w:pPr>
      <w:r>
        <w:rPr>
          <w:kern w:val="1"/>
          <w:lang w:val="bs-Latn-BA" w:eastAsia="ar-SA"/>
        </w:rPr>
        <w:t>broj i vrijednost izvršenih transakcija za svakog sudionika po danu;</w:t>
      </w:r>
    </w:p>
    <w:p>
      <w:pPr>
        <w:pStyle w:val="ListParagraph"/>
        <w:numPr>
          <w:ilvl w:val="0"/>
          <w:numId w:val="9"/>
        </w:numPr>
        <w:jc w:val="both"/>
        <w:rPr>
          <w:kern w:val="1"/>
          <w:lang w:val="bs-Latn-BA" w:eastAsia="ar-SA"/>
        </w:rPr>
      </w:pPr>
      <w:r>
        <w:rPr>
          <w:kern w:val="1"/>
          <w:lang w:val="bs-Latn-BA" w:eastAsia="ar-SA"/>
        </w:rPr>
        <w:t>broj i vrijednost izvršenih transakcija poravnanja za sustave koji se poravnavaju u platnom sustavu po danu;</w:t>
      </w:r>
    </w:p>
    <w:p>
      <w:pPr>
        <w:pStyle w:val="ListParagraph"/>
        <w:numPr>
          <w:ilvl w:val="0"/>
          <w:numId w:val="9"/>
        </w:numPr>
        <w:jc w:val="both"/>
        <w:rPr>
          <w:kern w:val="1"/>
          <w:lang w:val="bs-Latn-BA" w:eastAsia="ar-SA"/>
        </w:rPr>
      </w:pPr>
      <w:r>
        <w:rPr>
          <w:kern w:val="1"/>
          <w:lang w:val="bs-Latn-BA" w:eastAsia="ar-SA"/>
        </w:rPr>
        <w:t>broj i vrijednost transakcija na dan najvećeg prometa;</w:t>
      </w:r>
    </w:p>
    <w:p>
      <w:pPr>
        <w:pStyle w:val="ListParagraph"/>
        <w:numPr>
          <w:ilvl w:val="0"/>
          <w:numId w:val="9"/>
        </w:numPr>
        <w:jc w:val="both"/>
        <w:rPr>
          <w:kern w:val="1"/>
          <w:lang w:val="bs-Latn-BA" w:eastAsia="ar-SA"/>
        </w:rPr>
      </w:pPr>
      <w:r>
        <w:rPr>
          <w:kern w:val="1"/>
          <w:lang w:val="bs-Latn-BA" w:eastAsia="ar-SA"/>
        </w:rPr>
        <w:t>broj i vrijednost transakcija u satu najvećeg prometa;</w:t>
      </w:r>
    </w:p>
    <w:p>
      <w:pPr>
        <w:pStyle w:val="ListParagraph"/>
        <w:numPr>
          <w:ilvl w:val="0"/>
          <w:numId w:val="9"/>
        </w:numPr>
        <w:jc w:val="both"/>
        <w:rPr>
          <w:kern w:val="1"/>
          <w:lang w:val="bs-Latn-BA" w:eastAsia="ar-SA"/>
        </w:rPr>
      </w:pPr>
      <w:r>
        <w:rPr>
          <w:kern w:val="1"/>
          <w:lang w:val="bs-Latn-BA" w:eastAsia="ar-SA"/>
        </w:rPr>
        <w:t>broj i vrijednost transakcija za intervale u BAM:</w:t>
      </w:r>
    </w:p>
    <w:p>
      <w:pPr>
        <w:pStyle w:val="ListParagraph"/>
        <w:numPr>
          <w:ilvl w:val="0"/>
          <w:numId w:val="10"/>
        </w:numPr>
        <w:ind w:left="1276"/>
        <w:jc w:val="both"/>
        <w:rPr>
          <w:kern w:val="1"/>
          <w:lang w:val="bs-Latn-BA" w:eastAsia="ar-SA"/>
        </w:rPr>
      </w:pPr>
      <w:r>
        <w:rPr>
          <w:kern w:val="1"/>
          <w:lang w:val="bs-Latn-BA" w:eastAsia="ar-SA"/>
        </w:rPr>
        <w:t>0,01 – 10,00,</w:t>
      </w:r>
    </w:p>
    <w:p>
      <w:pPr>
        <w:pStyle w:val="ListParagraph"/>
        <w:numPr>
          <w:ilvl w:val="0"/>
          <w:numId w:val="10"/>
        </w:numPr>
        <w:ind w:left="1276"/>
        <w:jc w:val="both"/>
        <w:rPr>
          <w:kern w:val="1"/>
          <w:lang w:val="bs-Latn-BA" w:eastAsia="ar-SA"/>
        </w:rPr>
      </w:pPr>
      <w:r>
        <w:rPr>
          <w:kern w:val="1"/>
          <w:lang w:val="bs-Latn-BA" w:eastAsia="ar-SA"/>
        </w:rPr>
        <w:t>10,01 – 100,00,</w:t>
      </w:r>
    </w:p>
    <w:p>
      <w:pPr>
        <w:pStyle w:val="ListParagraph"/>
        <w:numPr>
          <w:ilvl w:val="0"/>
          <w:numId w:val="10"/>
        </w:numPr>
        <w:ind w:left="1276"/>
        <w:jc w:val="both"/>
        <w:rPr>
          <w:kern w:val="1"/>
          <w:lang w:val="bs-Latn-BA" w:eastAsia="ar-SA"/>
        </w:rPr>
      </w:pPr>
      <w:r>
        <w:rPr>
          <w:kern w:val="1"/>
          <w:lang w:val="bs-Latn-BA" w:eastAsia="ar-SA"/>
        </w:rPr>
        <w:t>100,01 – 500,00,</w:t>
      </w:r>
    </w:p>
    <w:p>
      <w:pPr>
        <w:pStyle w:val="ListParagraph"/>
        <w:numPr>
          <w:ilvl w:val="0"/>
          <w:numId w:val="10"/>
        </w:numPr>
        <w:ind w:left="1276"/>
        <w:jc w:val="both"/>
        <w:rPr>
          <w:kern w:val="1"/>
          <w:lang w:val="bs-Latn-BA" w:eastAsia="ar-SA"/>
        </w:rPr>
      </w:pPr>
      <w:r>
        <w:rPr>
          <w:kern w:val="1"/>
          <w:lang w:val="bs-Latn-BA" w:eastAsia="ar-SA"/>
        </w:rPr>
        <w:t>500,01 – 2000,00,</w:t>
      </w:r>
    </w:p>
    <w:p>
      <w:pPr>
        <w:pStyle w:val="ListParagraph"/>
        <w:numPr>
          <w:ilvl w:val="0"/>
          <w:numId w:val="10"/>
        </w:numPr>
        <w:ind w:left="1276"/>
        <w:jc w:val="both"/>
        <w:rPr>
          <w:kern w:val="1"/>
          <w:lang w:val="bs-Latn-BA" w:eastAsia="ar-SA"/>
        </w:rPr>
      </w:pPr>
      <w:r>
        <w:rPr>
          <w:kern w:val="1"/>
          <w:lang w:val="bs-Latn-BA" w:eastAsia="ar-SA"/>
        </w:rPr>
        <w:t>2000,01 – 5.000,00,</w:t>
      </w:r>
    </w:p>
    <w:p>
      <w:pPr>
        <w:pStyle w:val="ListParagraph"/>
        <w:numPr>
          <w:ilvl w:val="0"/>
          <w:numId w:val="10"/>
        </w:numPr>
        <w:ind w:left="1276"/>
        <w:jc w:val="both"/>
        <w:rPr>
          <w:kern w:val="1"/>
          <w:lang w:val="bs-Latn-BA" w:eastAsia="ar-SA"/>
        </w:rPr>
      </w:pPr>
      <w:r>
        <w:rPr>
          <w:kern w:val="1"/>
          <w:lang w:val="bs-Latn-BA" w:eastAsia="ar-SA"/>
        </w:rPr>
        <w:lastRenderedPageBreak/>
        <w:t>5.000,01 – 10.000,00,</w:t>
      </w:r>
    </w:p>
    <w:p>
      <w:pPr>
        <w:pStyle w:val="ListParagraph"/>
        <w:numPr>
          <w:ilvl w:val="0"/>
          <w:numId w:val="10"/>
        </w:numPr>
        <w:ind w:left="1276"/>
        <w:jc w:val="both"/>
        <w:rPr>
          <w:kern w:val="1"/>
          <w:lang w:val="bs-Latn-BA" w:eastAsia="ar-SA"/>
        </w:rPr>
      </w:pPr>
      <w:r>
        <w:rPr>
          <w:kern w:val="1"/>
          <w:lang w:val="bs-Latn-BA" w:eastAsia="ar-SA"/>
        </w:rPr>
        <w:t>10.000,01 – 20.000,00,</w:t>
      </w:r>
    </w:p>
    <w:p>
      <w:pPr>
        <w:pStyle w:val="ListParagraph"/>
        <w:numPr>
          <w:ilvl w:val="0"/>
          <w:numId w:val="10"/>
        </w:numPr>
        <w:ind w:left="1276"/>
        <w:jc w:val="both"/>
        <w:rPr>
          <w:kern w:val="1"/>
          <w:lang w:val="bs-Latn-BA" w:eastAsia="ar-SA"/>
        </w:rPr>
      </w:pPr>
      <w:r>
        <w:rPr>
          <w:kern w:val="1"/>
          <w:lang w:val="bs-Latn-BA" w:eastAsia="ar-SA"/>
        </w:rPr>
        <w:t>20.000,01 – 100.000,00,</w:t>
      </w:r>
    </w:p>
    <w:p>
      <w:pPr>
        <w:pStyle w:val="ListParagraph"/>
        <w:numPr>
          <w:ilvl w:val="0"/>
          <w:numId w:val="10"/>
        </w:numPr>
        <w:ind w:left="1276"/>
        <w:jc w:val="both"/>
        <w:rPr>
          <w:kern w:val="1"/>
          <w:lang w:val="bs-Latn-BA" w:eastAsia="ar-SA"/>
        </w:rPr>
      </w:pPr>
      <w:r>
        <w:rPr>
          <w:kern w:val="1"/>
          <w:lang w:val="bs-Latn-BA" w:eastAsia="ar-SA"/>
        </w:rPr>
        <w:t>100.000,01 – više;</w:t>
      </w:r>
    </w:p>
    <w:p>
      <w:pPr>
        <w:pStyle w:val="ListParagraph"/>
        <w:numPr>
          <w:ilvl w:val="0"/>
          <w:numId w:val="9"/>
        </w:numPr>
        <w:jc w:val="both"/>
        <w:rPr>
          <w:kern w:val="1"/>
          <w:lang w:val="bs-Latn-BA" w:eastAsia="ar-SA"/>
        </w:rPr>
      </w:pPr>
      <w:r>
        <w:rPr>
          <w:kern w:val="1"/>
          <w:lang w:val="bs-Latn-BA" w:eastAsia="ar-SA"/>
        </w:rPr>
        <w:t>broj i trajanje prekida u radu platnog sustava (upisati podatke po svakom zabilježenom prekidu i agregatno za izvještajno razdoblje i vremenski interval) i opis za svaki prekid;</w:t>
      </w:r>
    </w:p>
    <w:p>
      <w:pPr>
        <w:pStyle w:val="ListParagraph"/>
        <w:numPr>
          <w:ilvl w:val="0"/>
          <w:numId w:val="9"/>
        </w:numPr>
        <w:jc w:val="both"/>
        <w:rPr>
          <w:kern w:val="1"/>
          <w:lang w:val="bs-Latn-BA" w:eastAsia="ar-SA"/>
        </w:rPr>
      </w:pPr>
      <w:r>
        <w:rPr>
          <w:kern w:val="1"/>
          <w:lang w:val="bs-Latn-BA" w:eastAsia="ar-SA"/>
        </w:rPr>
        <w:t>broj i trajanje produženja radnog dana sustava (upisati podatke po svakom zabilježenom produženju i agregatno za izvještajno razdoblje i vremenski interval) i opis za svako produženje;</w:t>
      </w:r>
    </w:p>
    <w:p>
      <w:pPr>
        <w:pStyle w:val="ListParagraph"/>
        <w:numPr>
          <w:ilvl w:val="0"/>
          <w:numId w:val="9"/>
        </w:numPr>
        <w:jc w:val="both"/>
        <w:rPr>
          <w:kern w:val="1"/>
          <w:lang w:val="bs-Latn-BA" w:eastAsia="ar-SA"/>
        </w:rPr>
      </w:pPr>
      <w:r>
        <w:rPr>
          <w:kern w:val="1"/>
          <w:lang w:val="bs-Latn-BA" w:eastAsia="ar-SA"/>
        </w:rPr>
        <w:t>pregled neporavnanih plaćanja po danu i sudioniku;</w:t>
      </w:r>
    </w:p>
    <w:p>
      <w:pPr>
        <w:pStyle w:val="ListParagraph"/>
        <w:numPr>
          <w:ilvl w:val="0"/>
          <w:numId w:val="9"/>
        </w:numPr>
        <w:jc w:val="both"/>
        <w:rPr>
          <w:kern w:val="1"/>
          <w:lang w:val="bs-Latn-BA" w:eastAsia="ar-SA"/>
        </w:rPr>
      </w:pPr>
      <w:r>
        <w:rPr>
          <w:kern w:val="1"/>
          <w:lang w:val="bs-Latn-BA" w:eastAsia="ar-SA"/>
        </w:rPr>
        <w:t>pregled odgođenih plaćanja po danu i sudioniku;</w:t>
      </w:r>
    </w:p>
    <w:p>
      <w:pPr>
        <w:pStyle w:val="ListParagraph"/>
        <w:numPr>
          <w:ilvl w:val="0"/>
          <w:numId w:val="9"/>
        </w:numPr>
        <w:jc w:val="both"/>
        <w:rPr>
          <w:kern w:val="1"/>
          <w:lang w:val="bs-Latn-BA" w:eastAsia="ar-SA"/>
        </w:rPr>
      </w:pPr>
      <w:r>
        <w:rPr>
          <w:kern w:val="1"/>
          <w:lang w:val="bs-Latn-BA" w:eastAsia="ar-SA"/>
        </w:rPr>
        <w:t>rabljenje dodatnih izvora zbog zastoja u poravnanju (broj, vrijednost i vrsta naloga kod kojih se desio zastoj u poravnanju, te vrijednost mobiliziranih dodatnih sredstava);</w:t>
      </w:r>
    </w:p>
    <w:p>
      <w:pPr>
        <w:pStyle w:val="ListParagraph"/>
        <w:numPr>
          <w:ilvl w:val="0"/>
          <w:numId w:val="9"/>
        </w:numPr>
        <w:jc w:val="both"/>
        <w:rPr>
          <w:kern w:val="1"/>
          <w:lang w:val="bs-Latn-BA" w:eastAsia="ar-SA"/>
        </w:rPr>
      </w:pPr>
      <w:r>
        <w:rPr>
          <w:kern w:val="1"/>
          <w:lang w:val="bs-Latn-BA" w:eastAsia="ar-SA"/>
        </w:rPr>
        <w:t>informacije o opozivu poravnanja (navesti dan, broj i vrijednost, te razlog opoziva poravnanja).</w:t>
      </w:r>
    </w:p>
    <w:p>
      <w:pPr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val="bs-Latn-BA" w:eastAsia="ar-SA"/>
        </w:rPr>
      </w:pPr>
      <w:r>
        <w:rPr>
          <w:rFonts w:ascii="Times New Roman" w:hAnsi="Times New Roman" w:cs="Times New Roman"/>
          <w:kern w:val="1"/>
          <w:sz w:val="24"/>
          <w:szCs w:val="24"/>
          <w:lang w:val="bs-Latn-BA" w:eastAsia="ar-SA"/>
        </w:rPr>
        <w:t xml:space="preserve">(2) </w:t>
      </w:r>
      <w:proofErr w:type="spellStart"/>
      <w:r>
        <w:rPr>
          <w:rFonts w:ascii="Times New Roman" w:hAnsi="Times New Roman" w:cs="Times New Roman"/>
          <w:kern w:val="1"/>
          <w:sz w:val="24"/>
          <w:szCs w:val="24"/>
          <w:lang w:val="bs-Latn-BA" w:eastAsia="ar-SA"/>
        </w:rPr>
        <w:t>Izvješće</w:t>
      </w:r>
      <w:proofErr w:type="spellEnd"/>
      <w:r>
        <w:rPr>
          <w:rFonts w:ascii="Times New Roman" w:hAnsi="Times New Roman" w:cs="Times New Roman"/>
          <w:kern w:val="1"/>
          <w:sz w:val="24"/>
          <w:szCs w:val="24"/>
          <w:lang w:val="bs-Latn-BA" w:eastAsia="ar-SA"/>
        </w:rPr>
        <w:t xml:space="preserve"> iz stavka (1) ovog članka se dostavljaju mjesečno u roku od tri radna dana po isteku izvještajnog mjeseca.</w:t>
      </w:r>
    </w:p>
    <w:p>
      <w:pPr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val="bs-Latn-BA" w:eastAsia="ar-SA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bs-Latn-BA"/>
        </w:rPr>
      </w:pPr>
      <w:r>
        <w:rPr>
          <w:rFonts w:ascii="Times New Roman" w:hAnsi="Times New Roman" w:cs="Times New Roman"/>
          <w:b/>
          <w:sz w:val="24"/>
          <w:szCs w:val="24"/>
          <w:lang w:val="bs-Latn-BA"/>
        </w:rPr>
        <w:t>Članak 4.</w:t>
      </w:r>
    </w:p>
    <w:p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kern w:val="1"/>
          <w:sz w:val="24"/>
          <w:szCs w:val="24"/>
          <w:lang w:val="bs-Latn-BA" w:eastAsia="ar-SA"/>
        </w:rPr>
      </w:pPr>
      <w:r>
        <w:rPr>
          <w:rFonts w:ascii="Times New Roman" w:hAnsi="Times New Roman" w:cs="Times New Roman"/>
          <w:b/>
          <w:bCs/>
          <w:kern w:val="1"/>
          <w:sz w:val="24"/>
          <w:szCs w:val="24"/>
          <w:lang w:val="bs-Latn-BA" w:eastAsia="ar-SA"/>
        </w:rPr>
        <w:t>(</w:t>
      </w:r>
      <w:proofErr w:type="spellStart"/>
      <w:r>
        <w:rPr>
          <w:rFonts w:ascii="Times New Roman" w:hAnsi="Times New Roman" w:cs="Times New Roman"/>
          <w:b/>
          <w:bCs/>
          <w:kern w:val="1"/>
          <w:sz w:val="24"/>
          <w:szCs w:val="24"/>
          <w:lang w:val="bs-Latn-BA" w:eastAsia="ar-SA"/>
        </w:rPr>
        <w:t>Izvješća</w:t>
      </w:r>
      <w:proofErr w:type="spellEnd"/>
      <w:r>
        <w:rPr>
          <w:rFonts w:ascii="Times New Roman" w:hAnsi="Times New Roman" w:cs="Times New Roman"/>
          <w:b/>
          <w:bCs/>
          <w:kern w:val="1"/>
          <w:sz w:val="24"/>
          <w:szCs w:val="24"/>
          <w:lang w:val="bs-Latn-BA" w:eastAsia="ar-SA"/>
        </w:rPr>
        <w:t>, dokumenti i podatci o performansama, arhitekturi, promjenama arhitekture, sudionicima i ostalim bitnim aspektima funkcioniranja platnog sustava)</w:t>
      </w:r>
    </w:p>
    <w:p>
      <w:pPr>
        <w:spacing w:after="0" w:line="240" w:lineRule="auto"/>
        <w:jc w:val="both"/>
        <w:rPr>
          <w:rFonts w:ascii="Times New Roman" w:hAnsi="Times New Roman" w:cs="Times New Roman"/>
          <w:kern w:val="20"/>
          <w:sz w:val="24"/>
          <w:szCs w:val="24"/>
          <w:lang w:val="bs-Latn-BA" w:eastAsia="hr-HR"/>
        </w:rPr>
      </w:pPr>
      <w:r>
        <w:rPr>
          <w:rFonts w:ascii="Times New Roman" w:hAnsi="Times New Roman" w:cs="Times New Roman"/>
          <w:kern w:val="20"/>
          <w:sz w:val="24"/>
          <w:szCs w:val="24"/>
          <w:lang w:val="bs-Latn-BA" w:eastAsia="hr-HR"/>
        </w:rPr>
        <w:t xml:space="preserve">(1) Nadgledani platni sustav je dužan dostaviti Centralnoj banci sva dostupna </w:t>
      </w:r>
      <w:proofErr w:type="spellStart"/>
      <w:r>
        <w:rPr>
          <w:rFonts w:ascii="Times New Roman" w:hAnsi="Times New Roman" w:cs="Times New Roman"/>
          <w:kern w:val="20"/>
          <w:sz w:val="24"/>
          <w:szCs w:val="24"/>
          <w:lang w:val="bs-Latn-BA" w:eastAsia="hr-HR"/>
        </w:rPr>
        <w:t>izvješća</w:t>
      </w:r>
      <w:proofErr w:type="spellEnd"/>
      <w:r>
        <w:rPr>
          <w:rFonts w:ascii="Times New Roman" w:hAnsi="Times New Roman" w:cs="Times New Roman"/>
          <w:kern w:val="20"/>
          <w:sz w:val="24"/>
          <w:szCs w:val="24"/>
          <w:lang w:val="bs-Latn-BA" w:eastAsia="hr-HR"/>
        </w:rPr>
        <w:t>, dokumente i podatke o performansama, arhitekturi, promjenama arhitekture, sudionicima i ostalim bitnim aspektima funkcioniranja platnog sustava i to kako slijedi:</w:t>
      </w:r>
    </w:p>
    <w:p>
      <w:pPr>
        <w:pStyle w:val="ListParagraph"/>
        <w:numPr>
          <w:ilvl w:val="0"/>
          <w:numId w:val="14"/>
        </w:numPr>
        <w:jc w:val="both"/>
        <w:rPr>
          <w:lang w:val="bs-Latn-BA"/>
        </w:rPr>
      </w:pPr>
      <w:r>
        <w:rPr>
          <w:lang w:val="bs-Latn-BA"/>
        </w:rPr>
        <w:t>aktualna organizacija upravljanja platnim sustavom (aktualne verzije organizacijske sheme i relevantne informacije o mjerodavnostima kada je u pitanju organizacija platnog sustava);</w:t>
      </w:r>
    </w:p>
    <w:p>
      <w:pPr>
        <w:pStyle w:val="ListParagraph"/>
        <w:numPr>
          <w:ilvl w:val="0"/>
          <w:numId w:val="14"/>
        </w:numPr>
        <w:jc w:val="both"/>
        <w:rPr>
          <w:lang w:val="bs-Latn-BA"/>
        </w:rPr>
      </w:pPr>
      <w:r>
        <w:rPr>
          <w:lang w:val="bs-Latn-BA"/>
        </w:rPr>
        <w:t>aktualne verzije ključnih dokumenata vezani za dizajn i funkcioniranje sustava;</w:t>
      </w:r>
    </w:p>
    <w:p>
      <w:pPr>
        <w:pStyle w:val="ListParagraph"/>
        <w:numPr>
          <w:ilvl w:val="0"/>
          <w:numId w:val="14"/>
        </w:numPr>
        <w:jc w:val="both"/>
        <w:rPr>
          <w:lang w:val="bs-Latn-BA"/>
        </w:rPr>
      </w:pPr>
      <w:proofErr w:type="spellStart"/>
      <w:r>
        <w:rPr>
          <w:lang w:val="bs-Latn-BA"/>
        </w:rPr>
        <w:t>izvješće</w:t>
      </w:r>
      <w:proofErr w:type="spellEnd"/>
      <w:r>
        <w:rPr>
          <w:lang w:val="bs-Latn-BA"/>
        </w:rPr>
        <w:t xml:space="preserve"> koje sadrži relevantnu dokumentaciju koja potvrđuje operativni kapacitet sustava, odnosno testiranje skalabilnosti i adekvatnost kapaciteta za upravljanje projiciranim volumenima stresa;</w:t>
      </w:r>
    </w:p>
    <w:p>
      <w:pPr>
        <w:pStyle w:val="ListParagraph"/>
        <w:numPr>
          <w:ilvl w:val="0"/>
          <w:numId w:val="14"/>
        </w:numPr>
        <w:jc w:val="both"/>
        <w:rPr>
          <w:lang w:val="bs-Latn-BA"/>
        </w:rPr>
      </w:pPr>
      <w:r>
        <w:rPr>
          <w:lang w:val="bs-Latn-BA"/>
        </w:rPr>
        <w:t>analize ciljeva koji služe kao mjerilo za procjenu efikasnosti i efektivnosti platnog sustava;</w:t>
      </w:r>
    </w:p>
    <w:p>
      <w:pPr>
        <w:pStyle w:val="ListParagraph"/>
        <w:numPr>
          <w:ilvl w:val="0"/>
          <w:numId w:val="14"/>
        </w:numPr>
        <w:jc w:val="both"/>
        <w:rPr>
          <w:lang w:val="bs-Latn-BA"/>
        </w:rPr>
      </w:pPr>
      <w:r>
        <w:rPr>
          <w:lang w:val="bs-Latn-BA"/>
        </w:rPr>
        <w:t>aktualne verzije pravnih, organizacijskih i tehničkih aranžmana sa pružateljima usluga;</w:t>
      </w:r>
    </w:p>
    <w:p>
      <w:pPr>
        <w:pStyle w:val="ListParagraph"/>
        <w:numPr>
          <w:ilvl w:val="0"/>
          <w:numId w:val="14"/>
        </w:numPr>
        <w:jc w:val="both"/>
        <w:rPr>
          <w:lang w:val="bs-Latn-BA"/>
        </w:rPr>
      </w:pPr>
      <w:r>
        <w:rPr>
          <w:lang w:val="bs-Latn-BA"/>
        </w:rPr>
        <w:t xml:space="preserve">aktualne verzije revizorskih </w:t>
      </w:r>
      <w:proofErr w:type="spellStart"/>
      <w:r>
        <w:rPr>
          <w:lang w:val="bs-Latn-BA"/>
        </w:rPr>
        <w:t>izvješća</w:t>
      </w:r>
      <w:proofErr w:type="spellEnd"/>
      <w:r>
        <w:rPr>
          <w:lang w:val="bs-Latn-BA"/>
        </w:rPr>
        <w:t>;</w:t>
      </w:r>
    </w:p>
    <w:p>
      <w:pPr>
        <w:pStyle w:val="ListParagraph"/>
        <w:numPr>
          <w:ilvl w:val="0"/>
          <w:numId w:val="14"/>
        </w:numPr>
        <w:jc w:val="both"/>
        <w:rPr>
          <w:lang w:val="bs-Latn-BA"/>
        </w:rPr>
      </w:pPr>
      <w:proofErr w:type="spellStart"/>
      <w:r>
        <w:rPr>
          <w:lang w:val="bs-Latn-BA"/>
        </w:rPr>
        <w:t>izvješća</w:t>
      </w:r>
      <w:proofErr w:type="spellEnd"/>
      <w:r>
        <w:rPr>
          <w:lang w:val="bs-Latn-BA"/>
        </w:rPr>
        <w:t xml:space="preserve"> o sudionicima u platnom sustavu odmah po nastanku istog, a koji obuhvataju </w:t>
      </w:r>
      <w:proofErr w:type="spellStart"/>
      <w:r>
        <w:rPr>
          <w:lang w:val="bs-Latn-BA"/>
        </w:rPr>
        <w:t>isključenje</w:t>
      </w:r>
      <w:proofErr w:type="spellEnd"/>
      <w:r>
        <w:rPr>
          <w:lang w:val="bs-Latn-BA"/>
        </w:rPr>
        <w:t xml:space="preserve"> sudionika, ponovno uključenje sudionika, uključenje novog sudionika, statusne promjene sudionika;</w:t>
      </w:r>
    </w:p>
    <w:p>
      <w:pPr>
        <w:pStyle w:val="ListParagraph"/>
        <w:numPr>
          <w:ilvl w:val="0"/>
          <w:numId w:val="14"/>
        </w:numPr>
        <w:jc w:val="both"/>
        <w:rPr>
          <w:lang w:val="bs-Latn-BA"/>
        </w:rPr>
      </w:pPr>
      <w:r>
        <w:rPr>
          <w:lang w:val="bs-Latn-BA"/>
        </w:rPr>
        <w:t xml:space="preserve">ugovore sa sudionicima, informacije i </w:t>
      </w:r>
      <w:proofErr w:type="spellStart"/>
      <w:r>
        <w:rPr>
          <w:lang w:val="bs-Latn-BA"/>
        </w:rPr>
        <w:t>izvješća</w:t>
      </w:r>
      <w:proofErr w:type="spellEnd"/>
      <w:r>
        <w:rPr>
          <w:lang w:val="bs-Latn-BA"/>
        </w:rPr>
        <w:t xml:space="preserve"> o relevantnoj korespondenciji sa sudionicima u platnom sustavu o pitanjima i dokumentima od značaja za funkcioniranje platnog sustava (npr. zapisnici sa sastanaka, povratne informacije od sudionika i sl.)</w:t>
      </w:r>
    </w:p>
    <w:p>
      <w:pPr>
        <w:pStyle w:val="ListParagraph"/>
        <w:numPr>
          <w:ilvl w:val="0"/>
          <w:numId w:val="14"/>
        </w:numPr>
        <w:jc w:val="both"/>
        <w:rPr>
          <w:lang w:val="bs-Latn-BA"/>
        </w:rPr>
      </w:pPr>
      <w:r>
        <w:rPr>
          <w:lang w:val="bs-Latn-BA"/>
        </w:rPr>
        <w:t xml:space="preserve">ugovore, informacije i </w:t>
      </w:r>
      <w:proofErr w:type="spellStart"/>
      <w:r>
        <w:rPr>
          <w:lang w:val="bs-Latn-BA"/>
        </w:rPr>
        <w:t>izvješća</w:t>
      </w:r>
      <w:proofErr w:type="spellEnd"/>
      <w:r>
        <w:rPr>
          <w:lang w:val="bs-Latn-BA"/>
        </w:rPr>
        <w:t xml:space="preserve"> o korespondenciji koje nadgledani platni sustav vodi s internim ili eksternim pružateljima usluga;</w:t>
      </w:r>
    </w:p>
    <w:p>
      <w:pPr>
        <w:pStyle w:val="ListParagraph"/>
        <w:numPr>
          <w:ilvl w:val="0"/>
          <w:numId w:val="14"/>
        </w:numPr>
        <w:jc w:val="both"/>
        <w:rPr>
          <w:lang w:val="bs-Latn-BA"/>
        </w:rPr>
      </w:pPr>
      <w:r>
        <w:rPr>
          <w:lang w:val="bs-Latn-BA"/>
        </w:rPr>
        <w:t>planove za kontinuitet poslovanja i planove za upravljanje krizom;</w:t>
      </w:r>
    </w:p>
    <w:p>
      <w:pPr>
        <w:pStyle w:val="ListParagraph"/>
        <w:numPr>
          <w:ilvl w:val="0"/>
          <w:numId w:val="14"/>
        </w:numPr>
        <w:jc w:val="both"/>
        <w:rPr>
          <w:lang w:val="bs-Latn-BA"/>
        </w:rPr>
      </w:pPr>
      <w:r>
        <w:rPr>
          <w:lang w:val="bs-Latn-BA"/>
        </w:rPr>
        <w:t>planove testiranja kontinuiteta poslovanja i planove testiranja za upravljanje krizom odmah po nastanku, a najkasnije do početka kalendarske godine na koju se planiranje odnosi;</w:t>
      </w:r>
    </w:p>
    <w:p>
      <w:pPr>
        <w:pStyle w:val="ListParagraph"/>
        <w:numPr>
          <w:ilvl w:val="0"/>
          <w:numId w:val="14"/>
        </w:numPr>
        <w:jc w:val="both"/>
        <w:rPr>
          <w:lang w:val="bs-Latn-BA"/>
        </w:rPr>
      </w:pPr>
      <w:proofErr w:type="spellStart"/>
      <w:r>
        <w:rPr>
          <w:lang w:val="bs-Latn-BA"/>
        </w:rPr>
        <w:t>izvješća</w:t>
      </w:r>
      <w:proofErr w:type="spellEnd"/>
      <w:r>
        <w:rPr>
          <w:lang w:val="bs-Latn-BA"/>
        </w:rPr>
        <w:t xml:space="preserve"> o izvršenim redovitim i izvanrednim testiranjima kontinuiteta poslovanja i upravljanja krizom odmah po završenom testiranju, a najkasnije u roku od tri radna dana po završenom testiranju;</w:t>
      </w:r>
    </w:p>
    <w:p>
      <w:pPr>
        <w:pStyle w:val="ListParagraph"/>
        <w:numPr>
          <w:ilvl w:val="0"/>
          <w:numId w:val="14"/>
        </w:numPr>
        <w:jc w:val="both"/>
        <w:rPr>
          <w:lang w:val="bs-Latn-BA"/>
        </w:rPr>
      </w:pPr>
      <w:r>
        <w:rPr>
          <w:lang w:val="bs-Latn-BA"/>
        </w:rPr>
        <w:lastRenderedPageBreak/>
        <w:t>dokumentaciju i sve druge relevantne informacije vezane za promjene pravila rada sustava;</w:t>
      </w:r>
    </w:p>
    <w:p>
      <w:pPr>
        <w:pStyle w:val="ListParagraph"/>
        <w:numPr>
          <w:ilvl w:val="0"/>
          <w:numId w:val="14"/>
        </w:numPr>
        <w:jc w:val="both"/>
        <w:rPr>
          <w:lang w:val="bs-Latn-BA"/>
        </w:rPr>
      </w:pPr>
      <w:r>
        <w:rPr>
          <w:lang w:val="bs-Latn-BA"/>
        </w:rPr>
        <w:t xml:space="preserve">dokumentaciju i sve druge relevantne informacije vezane za promjene u arhitekturi sustava, što uključuje dokumente i </w:t>
      </w:r>
      <w:proofErr w:type="spellStart"/>
      <w:r>
        <w:rPr>
          <w:lang w:val="bs-Latn-BA"/>
        </w:rPr>
        <w:t>izvješća</w:t>
      </w:r>
      <w:proofErr w:type="spellEnd"/>
      <w:r>
        <w:rPr>
          <w:lang w:val="bs-Latn-BA"/>
        </w:rPr>
        <w:t xml:space="preserve"> kojima se potvrđuje informiranje sudionika u platnom sustavu o promjeni, te prateća </w:t>
      </w:r>
      <w:proofErr w:type="spellStart"/>
      <w:r>
        <w:rPr>
          <w:lang w:val="bs-Latn-BA"/>
        </w:rPr>
        <w:t>izvješća</w:t>
      </w:r>
      <w:proofErr w:type="spellEnd"/>
      <w:r>
        <w:rPr>
          <w:lang w:val="bs-Latn-BA"/>
        </w:rPr>
        <w:t xml:space="preserve"> o provedenom testiranju, te procjeni rizika promjene, najkasnije u roku od tri radna dana po nastanku promjene;</w:t>
      </w:r>
    </w:p>
    <w:p>
      <w:pPr>
        <w:pStyle w:val="ListParagraph"/>
        <w:numPr>
          <w:ilvl w:val="0"/>
          <w:numId w:val="14"/>
        </w:numPr>
        <w:jc w:val="both"/>
        <w:rPr>
          <w:lang w:val="bs-Latn-BA"/>
        </w:rPr>
      </w:pPr>
      <w:r>
        <w:rPr>
          <w:lang w:val="bs-Latn-BA"/>
        </w:rPr>
        <w:t>dokumentaciju i sve druge relevantne informacije vezane za promjene u vezi s drugim ustavima odmah po nastanku promjene, a najkasnije u roku od tri radna dana po nastanku promjene, osim za promjene utvrđene stavkom (3) ovog članka;</w:t>
      </w:r>
    </w:p>
    <w:p>
      <w:pPr>
        <w:pStyle w:val="ListParagraph"/>
        <w:numPr>
          <w:ilvl w:val="0"/>
          <w:numId w:val="14"/>
        </w:numPr>
        <w:jc w:val="both"/>
        <w:rPr>
          <w:lang w:val="bs-Latn-BA"/>
        </w:rPr>
      </w:pPr>
      <w:r>
        <w:rPr>
          <w:lang w:val="bs-Latn-BA"/>
        </w:rPr>
        <w:t>strateške i godišnje planove za promjene u platnom sustavu koje se tiču poslovnog modela, aranžmana upravljanja, kao i za glavne promjene u vezi sa tehnologijom ili kapacitetom sustava, uključujući i inicijalnu projektnu dokumentaciju i studije izvodljivosti za nove projekte odmah po donošenju, a najkasnije do početka kalendarske godine na koju se planiranje odnosi.</w:t>
      </w:r>
    </w:p>
    <w:p>
      <w:pPr>
        <w:pStyle w:val="ListParagraph"/>
        <w:ind w:left="0"/>
        <w:jc w:val="both"/>
        <w:rPr>
          <w:lang w:val="bs-Latn-BA"/>
        </w:rPr>
      </w:pPr>
      <w:r>
        <w:rPr>
          <w:lang w:val="bs-Latn-BA"/>
        </w:rPr>
        <w:t xml:space="preserve">(2) Nadgledani platni sustav je dužan Centralnoj banci dostaviti </w:t>
      </w:r>
      <w:proofErr w:type="spellStart"/>
      <w:r>
        <w:rPr>
          <w:lang w:val="bs-Latn-BA"/>
        </w:rPr>
        <w:t>izvješća</w:t>
      </w:r>
      <w:proofErr w:type="spellEnd"/>
      <w:r>
        <w:rPr>
          <w:lang w:val="bs-Latn-BA"/>
        </w:rPr>
        <w:t>, dokumente i podatke:</w:t>
      </w:r>
    </w:p>
    <w:p>
      <w:pPr>
        <w:pStyle w:val="ListParagraph"/>
        <w:numPr>
          <w:ilvl w:val="0"/>
          <w:numId w:val="15"/>
        </w:numPr>
        <w:jc w:val="both"/>
        <w:rPr>
          <w:lang w:val="bs-Latn-BA"/>
        </w:rPr>
      </w:pPr>
      <w:r>
        <w:rPr>
          <w:lang w:val="bs-Latn-BA"/>
        </w:rPr>
        <w:t>iz točaka a), b), e), f), m) stavka (1) ovog članka u roku od 30 dana od dana nastanka istih;</w:t>
      </w:r>
    </w:p>
    <w:p>
      <w:pPr>
        <w:pStyle w:val="ListParagraph"/>
        <w:numPr>
          <w:ilvl w:val="0"/>
          <w:numId w:val="15"/>
        </w:numPr>
        <w:jc w:val="both"/>
        <w:rPr>
          <w:lang w:val="bs-Latn-BA"/>
        </w:rPr>
      </w:pPr>
      <w:r>
        <w:rPr>
          <w:lang w:val="bs-Latn-BA"/>
        </w:rPr>
        <w:t>iz točaka c), d), h), i), j) stavka (1) ovog članka minimalno jednom godišnje;</w:t>
      </w:r>
    </w:p>
    <w:p>
      <w:pPr>
        <w:spacing w:after="0" w:line="240" w:lineRule="auto"/>
        <w:jc w:val="both"/>
        <w:rPr>
          <w:rFonts w:ascii="Times New Roman" w:hAnsi="Times New Roman" w:cs="Times New Roman"/>
          <w:kern w:val="20"/>
          <w:sz w:val="24"/>
          <w:szCs w:val="24"/>
          <w:lang w:val="bs-Latn-BA" w:eastAsia="hr-HR"/>
        </w:rPr>
      </w:pPr>
      <w:r>
        <w:rPr>
          <w:rFonts w:ascii="Times New Roman" w:hAnsi="Times New Roman" w:cs="Times New Roman"/>
          <w:kern w:val="20"/>
          <w:sz w:val="24"/>
          <w:szCs w:val="24"/>
          <w:lang w:val="bs-Latn-BA" w:eastAsia="hr-HR"/>
        </w:rPr>
        <w:t xml:space="preserve">(3) U slučaju promjena koje mogu imati značajan utjecaj na rad platnog sustava u smislu promjene usuglašenosti sa načelima i propisima koje donosi Centralna banka, nadgledani platni sustav je dužan o tome obavijestiti Centralnu banku najkasnije 10 radnih dana prije planirane implementacije promjene. </w:t>
      </w:r>
    </w:p>
    <w:p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bs-Latn-BA"/>
        </w:rPr>
      </w:pPr>
      <w:r>
        <w:rPr>
          <w:rFonts w:ascii="Times New Roman" w:hAnsi="Times New Roman" w:cs="Times New Roman"/>
          <w:b/>
          <w:sz w:val="24"/>
          <w:szCs w:val="24"/>
          <w:lang w:val="bs-Latn-BA"/>
        </w:rPr>
        <w:t>Članak 5.</w:t>
      </w:r>
    </w:p>
    <w:p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kern w:val="1"/>
          <w:sz w:val="24"/>
          <w:szCs w:val="24"/>
          <w:lang w:val="bs-Latn-BA" w:eastAsia="ar-SA"/>
        </w:rPr>
      </w:pPr>
      <w:r>
        <w:rPr>
          <w:rFonts w:ascii="Times New Roman" w:hAnsi="Times New Roman" w:cs="Times New Roman"/>
          <w:b/>
          <w:bCs/>
          <w:kern w:val="1"/>
          <w:sz w:val="24"/>
          <w:szCs w:val="24"/>
          <w:lang w:val="bs-Latn-BA" w:eastAsia="ar-SA"/>
        </w:rPr>
        <w:t>(</w:t>
      </w:r>
      <w:proofErr w:type="spellStart"/>
      <w:r>
        <w:rPr>
          <w:rFonts w:ascii="Times New Roman" w:hAnsi="Times New Roman" w:cs="Times New Roman"/>
          <w:b/>
          <w:bCs/>
          <w:kern w:val="1"/>
          <w:sz w:val="24"/>
          <w:szCs w:val="24"/>
          <w:lang w:val="bs-Latn-BA" w:eastAsia="ar-SA"/>
        </w:rPr>
        <w:t>Izvješća</w:t>
      </w:r>
      <w:proofErr w:type="spellEnd"/>
      <w:r>
        <w:rPr>
          <w:rFonts w:ascii="Times New Roman" w:hAnsi="Times New Roman" w:cs="Times New Roman"/>
          <w:b/>
          <w:bCs/>
          <w:kern w:val="1"/>
          <w:sz w:val="24"/>
          <w:szCs w:val="24"/>
          <w:lang w:val="bs-Latn-BA" w:eastAsia="ar-SA"/>
        </w:rPr>
        <w:t xml:space="preserve"> o incidentu u platnom sustavu)</w:t>
      </w:r>
    </w:p>
    <w:p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val="bs-Latn-BA" w:eastAsia="ar-SA"/>
        </w:rPr>
      </w:pPr>
      <w:r>
        <w:rPr>
          <w:rFonts w:ascii="Times New Roman" w:hAnsi="Times New Roman" w:cs="Times New Roman"/>
          <w:kern w:val="1"/>
          <w:sz w:val="24"/>
          <w:szCs w:val="24"/>
          <w:lang w:val="bs-Latn-BA" w:eastAsia="ar-SA"/>
        </w:rPr>
        <w:t xml:space="preserve">(1) Nadgledani platni sustav je u slučaju incidenta u platnom sustavu dužan Centralnu banku obavijestiti o tome najkasnije naredni radni dan od nastanka incidenta i dostaviti sve dostupne podatke i informacije, a u roku od tri dana od nastanka incidenta dostaviti i </w:t>
      </w:r>
      <w:proofErr w:type="spellStart"/>
      <w:r>
        <w:rPr>
          <w:rFonts w:ascii="Times New Roman" w:hAnsi="Times New Roman" w:cs="Times New Roman"/>
          <w:kern w:val="1"/>
          <w:sz w:val="24"/>
          <w:szCs w:val="24"/>
          <w:lang w:val="bs-Latn-BA" w:eastAsia="ar-SA"/>
        </w:rPr>
        <w:t>izvješće</w:t>
      </w:r>
      <w:proofErr w:type="spellEnd"/>
      <w:r>
        <w:rPr>
          <w:rFonts w:ascii="Times New Roman" w:hAnsi="Times New Roman" w:cs="Times New Roman"/>
          <w:kern w:val="1"/>
          <w:sz w:val="24"/>
          <w:szCs w:val="24"/>
          <w:lang w:val="bs-Latn-BA" w:eastAsia="ar-SA"/>
        </w:rPr>
        <w:t xml:space="preserve"> o incidentu u platnom sustavu.</w:t>
      </w:r>
    </w:p>
    <w:p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bCs/>
          <w:kern w:val="1"/>
          <w:sz w:val="24"/>
          <w:szCs w:val="24"/>
          <w:lang w:val="bs-Latn-BA" w:eastAsia="ar-SA"/>
        </w:rPr>
      </w:pPr>
      <w:r>
        <w:rPr>
          <w:rFonts w:ascii="Times New Roman" w:hAnsi="Times New Roman" w:cs="Times New Roman"/>
          <w:kern w:val="1"/>
          <w:sz w:val="24"/>
          <w:szCs w:val="24"/>
          <w:lang w:val="bs-Latn-BA" w:eastAsia="ar-SA"/>
        </w:rPr>
        <w:t>(2) Izvještaj o incidentu u platnom sustavu iz stavka (1) ovog člana sadrži minimalno sljedeće podatke:</w:t>
      </w:r>
    </w:p>
    <w:p>
      <w:pPr>
        <w:pStyle w:val="ListParagraph"/>
        <w:numPr>
          <w:ilvl w:val="0"/>
          <w:numId w:val="4"/>
        </w:numPr>
        <w:jc w:val="both"/>
        <w:rPr>
          <w:rFonts w:eastAsia="Calibri"/>
          <w:lang w:val="bs-Latn-BA"/>
        </w:rPr>
      </w:pPr>
      <w:r>
        <w:rPr>
          <w:rFonts w:eastAsiaTheme="minorHAnsi"/>
          <w:kern w:val="1"/>
          <w:lang w:val="bs-Latn-BA" w:eastAsia="ar-SA"/>
        </w:rPr>
        <w:t>datum i vrijeme nastanka incidenta</w:t>
      </w:r>
      <w:r>
        <w:rPr>
          <w:kern w:val="1"/>
          <w:lang w:val="bs-Latn-BA" w:eastAsia="ar-SA"/>
        </w:rPr>
        <w:t>,</w:t>
      </w:r>
    </w:p>
    <w:p>
      <w:pPr>
        <w:pStyle w:val="ListParagraph"/>
        <w:numPr>
          <w:ilvl w:val="0"/>
          <w:numId w:val="4"/>
        </w:numPr>
        <w:jc w:val="both"/>
        <w:rPr>
          <w:rFonts w:eastAsia="Calibri"/>
          <w:lang w:val="bs-Latn-BA"/>
        </w:rPr>
      </w:pPr>
      <w:r>
        <w:rPr>
          <w:kern w:val="1"/>
          <w:lang w:val="bs-Latn-BA" w:eastAsia="ar-SA"/>
        </w:rPr>
        <w:t>vremensko trajanje incidenta,</w:t>
      </w:r>
    </w:p>
    <w:p>
      <w:pPr>
        <w:pStyle w:val="ListParagraph"/>
        <w:numPr>
          <w:ilvl w:val="0"/>
          <w:numId w:val="4"/>
        </w:numPr>
        <w:jc w:val="both"/>
        <w:rPr>
          <w:rFonts w:eastAsia="Calibri"/>
          <w:lang w:val="bs-Latn-BA"/>
        </w:rPr>
      </w:pPr>
      <w:r>
        <w:rPr>
          <w:kern w:val="1"/>
          <w:lang w:val="bs-Latn-BA" w:eastAsia="ar-SA"/>
        </w:rPr>
        <w:t>utjecaj na razinu usluge platnog sustava (sa svim dostupnim kvalitativnim i kvantitativnim podatcima),</w:t>
      </w:r>
    </w:p>
    <w:p>
      <w:pPr>
        <w:pStyle w:val="ListParagraph"/>
        <w:numPr>
          <w:ilvl w:val="0"/>
          <w:numId w:val="4"/>
        </w:numPr>
        <w:jc w:val="both"/>
        <w:rPr>
          <w:rFonts w:eastAsia="Calibri"/>
          <w:lang w:val="bs-Latn-BA"/>
        </w:rPr>
      </w:pPr>
      <w:r>
        <w:rPr>
          <w:kern w:val="1"/>
          <w:lang w:val="bs-Latn-BA" w:eastAsia="ar-SA"/>
        </w:rPr>
        <w:t>utjecaj na sudionike platnog sustava,</w:t>
      </w:r>
    </w:p>
    <w:p>
      <w:pPr>
        <w:pStyle w:val="ListParagraph"/>
        <w:numPr>
          <w:ilvl w:val="0"/>
          <w:numId w:val="4"/>
        </w:numPr>
        <w:jc w:val="both"/>
        <w:rPr>
          <w:rFonts w:eastAsia="Calibri"/>
          <w:lang w:val="bs-Latn-BA"/>
        </w:rPr>
      </w:pPr>
      <w:r>
        <w:rPr>
          <w:kern w:val="1"/>
          <w:lang w:val="bs-Latn-BA" w:eastAsia="ar-SA"/>
        </w:rPr>
        <w:t xml:space="preserve">o poduzetim radnjama u cilju obavještavanja i informiranja sudionika platnog sustava, pružatelja kritičnih usluga platnog sustava i po potrebi ostalih zainteresiranih strana, a prije svega onih sa povezanim infrastrukturama financijskog tržišta. </w:t>
      </w:r>
    </w:p>
    <w:p>
      <w:pPr>
        <w:pStyle w:val="ListParagraph"/>
        <w:ind w:left="0"/>
        <w:jc w:val="both"/>
        <w:rPr>
          <w:kern w:val="1"/>
          <w:lang w:val="bs-Latn-BA" w:eastAsia="ar-SA"/>
        </w:rPr>
      </w:pPr>
      <w:r>
        <w:rPr>
          <w:kern w:val="1"/>
          <w:lang w:val="bs-Latn-BA" w:eastAsia="ar-SA"/>
        </w:rPr>
        <w:t xml:space="preserve">(3) Nadgledani platni sustav je dužan Centralnoj banci u roku od 20 radnih dana od dana nastanka incidenta dostaviti i </w:t>
      </w:r>
      <w:proofErr w:type="spellStart"/>
      <w:r>
        <w:rPr>
          <w:kern w:val="1"/>
          <w:lang w:val="bs-Latn-BA" w:eastAsia="ar-SA"/>
        </w:rPr>
        <w:t>izvješće</w:t>
      </w:r>
      <w:proofErr w:type="spellEnd"/>
      <w:r>
        <w:rPr>
          <w:kern w:val="1"/>
          <w:lang w:val="bs-Latn-BA" w:eastAsia="ar-SA"/>
        </w:rPr>
        <w:t xml:space="preserve"> sa informacijama o sveobuhvatnom opisu incidenta koje uključuju identificiranje glavnog uzroka nastanka incidenta, a ako je moguće i sve detalje u vezi sa korektivnim aktivnostima koje su poduzete.</w:t>
      </w:r>
    </w:p>
    <w:p>
      <w:pPr>
        <w:pStyle w:val="ListParagraph"/>
        <w:ind w:left="0"/>
        <w:jc w:val="both"/>
        <w:rPr>
          <w:kern w:val="1"/>
          <w:lang w:val="bs-Latn-BA" w:eastAsia="ar-SA"/>
        </w:rPr>
      </w:pPr>
      <w:r>
        <w:rPr>
          <w:kern w:val="1"/>
          <w:lang w:val="bs-Latn-BA" w:eastAsia="ar-SA"/>
        </w:rPr>
        <w:t xml:space="preserve">(4) Ukoliko Centralna banka ocijeni da je </w:t>
      </w:r>
      <w:proofErr w:type="spellStart"/>
      <w:r>
        <w:rPr>
          <w:kern w:val="1"/>
          <w:lang w:val="bs-Latn-BA" w:eastAsia="ar-SA"/>
        </w:rPr>
        <w:t>izvješće</w:t>
      </w:r>
      <w:proofErr w:type="spellEnd"/>
      <w:r>
        <w:rPr>
          <w:kern w:val="1"/>
          <w:lang w:val="bs-Latn-BA" w:eastAsia="ar-SA"/>
        </w:rPr>
        <w:t xml:space="preserve"> iz stavka (3) ovog članka nepotpun, nadgledani platni sustav je dužan svakih 90 dana </w:t>
      </w:r>
      <w:proofErr w:type="spellStart"/>
      <w:r>
        <w:rPr>
          <w:kern w:val="1"/>
          <w:lang w:val="bs-Latn-BA" w:eastAsia="ar-SA"/>
        </w:rPr>
        <w:t>izvješćivati</w:t>
      </w:r>
      <w:proofErr w:type="spellEnd"/>
      <w:r>
        <w:rPr>
          <w:kern w:val="1"/>
          <w:lang w:val="bs-Latn-BA" w:eastAsia="ar-SA"/>
        </w:rPr>
        <w:t xml:space="preserve"> Centralnu banku o statusu poduzetnih aktivnosti sve do dostavljanja potpunog </w:t>
      </w:r>
      <w:proofErr w:type="spellStart"/>
      <w:r>
        <w:rPr>
          <w:kern w:val="1"/>
          <w:lang w:val="bs-Latn-BA" w:eastAsia="ar-SA"/>
        </w:rPr>
        <w:t>izvješća</w:t>
      </w:r>
      <w:proofErr w:type="spellEnd"/>
      <w:r>
        <w:rPr>
          <w:kern w:val="1"/>
          <w:lang w:val="bs-Latn-BA" w:eastAsia="ar-SA"/>
        </w:rPr>
        <w:t xml:space="preserve"> u smislu stavka (3) ovog članka.</w:t>
      </w:r>
    </w:p>
    <w:p>
      <w:pPr>
        <w:pStyle w:val="ListParagraph"/>
        <w:ind w:left="0"/>
        <w:jc w:val="both"/>
        <w:rPr>
          <w:kern w:val="1"/>
          <w:lang w:val="bs-Latn-BA" w:eastAsia="ar-SA"/>
        </w:rPr>
      </w:pPr>
    </w:p>
    <w:p>
      <w:pPr>
        <w:pStyle w:val="ListParagraph"/>
        <w:ind w:left="0"/>
        <w:jc w:val="both"/>
        <w:rPr>
          <w:kern w:val="1"/>
          <w:lang w:val="bs-Latn-BA" w:eastAsia="ar-SA"/>
        </w:rPr>
      </w:pPr>
    </w:p>
    <w:p>
      <w:pPr>
        <w:pStyle w:val="ListParagraph"/>
        <w:ind w:left="0"/>
        <w:jc w:val="both"/>
        <w:rPr>
          <w:kern w:val="1"/>
          <w:lang w:val="bs-Latn-BA" w:eastAsia="ar-SA"/>
        </w:rPr>
      </w:pPr>
    </w:p>
    <w:p>
      <w:pPr>
        <w:pStyle w:val="ListParagraph"/>
        <w:ind w:left="0"/>
        <w:jc w:val="both"/>
        <w:rPr>
          <w:kern w:val="1"/>
          <w:lang w:val="bs-Latn-BA" w:eastAsia="ar-SA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bs-Latn-BA"/>
        </w:rPr>
      </w:pPr>
      <w:r>
        <w:rPr>
          <w:rFonts w:ascii="Times New Roman" w:hAnsi="Times New Roman" w:cs="Times New Roman"/>
          <w:b/>
          <w:sz w:val="24"/>
          <w:szCs w:val="24"/>
          <w:lang w:val="bs-Latn-BA"/>
        </w:rPr>
        <w:lastRenderedPageBreak/>
        <w:t>Članak 6.</w:t>
      </w:r>
    </w:p>
    <w:p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bs-Latn-BA"/>
        </w:rPr>
      </w:pPr>
      <w:r>
        <w:rPr>
          <w:rFonts w:ascii="Times New Roman" w:hAnsi="Times New Roman" w:cs="Times New Roman"/>
          <w:b/>
          <w:sz w:val="24"/>
          <w:szCs w:val="24"/>
          <w:lang w:val="bs-Latn-BA"/>
        </w:rPr>
        <w:t>(</w:t>
      </w:r>
      <w:bookmarkStart w:id="2" w:name="_Hlk150949220"/>
      <w:proofErr w:type="spellStart"/>
      <w:r>
        <w:rPr>
          <w:rFonts w:ascii="Times New Roman" w:hAnsi="Times New Roman" w:cs="Times New Roman"/>
          <w:b/>
          <w:sz w:val="24"/>
          <w:szCs w:val="24"/>
          <w:lang w:val="bs-Latn-BA"/>
        </w:rPr>
        <w:t>Izvješće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o upravljanju rizicima platnog sustava</w:t>
      </w:r>
      <w:bookmarkEnd w:id="2"/>
      <w:r>
        <w:rPr>
          <w:rFonts w:ascii="Times New Roman" w:hAnsi="Times New Roman" w:cs="Times New Roman"/>
          <w:b/>
          <w:sz w:val="24"/>
          <w:szCs w:val="24"/>
          <w:lang w:val="bs-Latn-BA"/>
        </w:rPr>
        <w:t>)</w:t>
      </w:r>
    </w:p>
    <w:p>
      <w:pPr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val="bs-Latn-BA" w:eastAsia="ar-SA"/>
        </w:rPr>
      </w:pPr>
      <w:r>
        <w:rPr>
          <w:rFonts w:ascii="Times New Roman" w:hAnsi="Times New Roman" w:cs="Times New Roman"/>
          <w:kern w:val="1"/>
          <w:sz w:val="24"/>
          <w:szCs w:val="24"/>
          <w:lang w:val="bs-Latn-BA" w:eastAsia="ar-SA"/>
        </w:rPr>
        <w:t xml:space="preserve">(1) Nadgledani platni sustav je dužan Centralnoj banci najkasnije do 31. 03. tekuće godine za prethodnu godinu dostaviti </w:t>
      </w:r>
      <w:proofErr w:type="spellStart"/>
      <w:r>
        <w:rPr>
          <w:rFonts w:ascii="Times New Roman" w:hAnsi="Times New Roman" w:cs="Times New Roman"/>
          <w:kern w:val="1"/>
          <w:sz w:val="24"/>
          <w:szCs w:val="24"/>
          <w:lang w:val="bs-Latn-BA" w:eastAsia="ar-SA"/>
        </w:rPr>
        <w:t>izvješće</w:t>
      </w:r>
      <w:proofErr w:type="spellEnd"/>
      <w:r>
        <w:rPr>
          <w:rFonts w:ascii="Times New Roman" w:hAnsi="Times New Roman" w:cs="Times New Roman"/>
          <w:kern w:val="1"/>
          <w:sz w:val="24"/>
          <w:szCs w:val="24"/>
          <w:lang w:val="bs-Latn-BA" w:eastAsia="ar-SA"/>
        </w:rPr>
        <w:t xml:space="preserve"> o upravljanju rizicima platnog sustava koji sadrži metodološki okvir i sve potrebne informacije o identificiranim rizicima, ocjeni rizika i poduzetim akcijama.</w:t>
      </w:r>
    </w:p>
    <w:p>
      <w:pPr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val="bs-Latn-BA" w:eastAsia="ar-SA"/>
        </w:rPr>
      </w:pPr>
      <w:r>
        <w:rPr>
          <w:rFonts w:ascii="Times New Roman" w:hAnsi="Times New Roman" w:cs="Times New Roman"/>
          <w:kern w:val="1"/>
          <w:sz w:val="24"/>
          <w:szCs w:val="24"/>
          <w:lang w:val="bs-Latn-BA" w:eastAsia="ar-SA"/>
        </w:rPr>
        <w:t xml:space="preserve">(2) Ukoliko se desi okolnost koja utječe na promjenu vrste ili razine rizika, ili na promjenu upravljanja rizicima platnog sustava, nadgledani platni sustav je o tome dužan u što kraćem roku, a ne dužem od 30 dana od nastanka predmetne okolnosti, dostaviti </w:t>
      </w:r>
      <w:proofErr w:type="spellStart"/>
      <w:r>
        <w:rPr>
          <w:rFonts w:ascii="Times New Roman" w:hAnsi="Times New Roman" w:cs="Times New Roman"/>
          <w:kern w:val="1"/>
          <w:sz w:val="24"/>
          <w:szCs w:val="24"/>
          <w:lang w:val="bs-Latn-BA" w:eastAsia="ar-SA"/>
        </w:rPr>
        <w:t>izvješće</w:t>
      </w:r>
      <w:proofErr w:type="spellEnd"/>
      <w:r>
        <w:rPr>
          <w:rFonts w:ascii="Times New Roman" w:hAnsi="Times New Roman" w:cs="Times New Roman"/>
          <w:kern w:val="1"/>
          <w:sz w:val="24"/>
          <w:szCs w:val="24"/>
          <w:lang w:val="bs-Latn-BA" w:eastAsia="ar-SA"/>
        </w:rPr>
        <w:t xml:space="preserve"> Centralnoj banci o okolnostima, utjecaju promjene na profil rizika i upravljanje.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bs-Latn-BA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bs-Latn-BA"/>
        </w:rPr>
      </w:pPr>
      <w:r>
        <w:rPr>
          <w:rFonts w:ascii="Times New Roman" w:hAnsi="Times New Roman" w:cs="Times New Roman"/>
          <w:b/>
          <w:sz w:val="24"/>
          <w:szCs w:val="24"/>
          <w:lang w:val="bs-Latn-BA"/>
        </w:rPr>
        <w:t>Članak 7.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bs-Latn-BA"/>
        </w:rPr>
      </w:pPr>
      <w:r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(Ostala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bs-Latn-BA"/>
        </w:rPr>
        <w:t>izvješća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bs-Latn-BA"/>
        </w:rPr>
        <w:t>, dokumenti i podatci)</w:t>
      </w:r>
    </w:p>
    <w:p>
      <w:pPr>
        <w:widowControl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kern w:val="1"/>
          <w:sz w:val="24"/>
          <w:szCs w:val="24"/>
          <w:lang w:val="bs-Latn-BA" w:eastAsia="ar-SA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val="bs-Latn-BA" w:eastAsia="ar-SA"/>
        </w:rPr>
        <w:t xml:space="preserve">(1) </w:t>
      </w:r>
      <w:r>
        <w:rPr>
          <w:rFonts w:ascii="Times New Roman" w:hAnsi="Times New Roman" w:cs="Times New Roman"/>
          <w:kern w:val="1"/>
          <w:sz w:val="24"/>
          <w:szCs w:val="24"/>
          <w:lang w:val="bs-Latn-BA" w:eastAsia="ar-SA"/>
        </w:rPr>
        <w:t>Nadgledani platni sustav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val="bs-Latn-BA" w:eastAsia="ar-SA"/>
        </w:rPr>
        <w:t xml:space="preserve"> je dužan na zahtjev Centralne banke dostaviti i izvanredna </w:t>
      </w:r>
      <w:proofErr w:type="spellStart"/>
      <w:r>
        <w:rPr>
          <w:rFonts w:ascii="Times New Roman" w:eastAsia="Times New Roman" w:hAnsi="Times New Roman" w:cs="Times New Roman"/>
          <w:kern w:val="1"/>
          <w:sz w:val="24"/>
          <w:szCs w:val="24"/>
          <w:lang w:val="bs-Latn-BA" w:eastAsia="ar-SA"/>
        </w:rPr>
        <w:t>izvješća</w:t>
      </w:r>
      <w:proofErr w:type="spellEnd"/>
      <w:r>
        <w:rPr>
          <w:rFonts w:ascii="Times New Roman" w:eastAsia="Times New Roman" w:hAnsi="Times New Roman" w:cs="Times New Roman"/>
          <w:kern w:val="1"/>
          <w:sz w:val="24"/>
          <w:szCs w:val="24"/>
          <w:lang w:val="bs-Latn-BA" w:eastAsia="ar-SA"/>
        </w:rPr>
        <w:t xml:space="preserve"> o funkcioniranju platnog sustava.</w:t>
      </w:r>
    </w:p>
    <w:p>
      <w:pPr>
        <w:widowControl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kern w:val="1"/>
          <w:sz w:val="24"/>
          <w:szCs w:val="24"/>
          <w:lang w:val="bs-Latn-BA" w:eastAsia="ar-SA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val="bs-Latn-BA" w:eastAsia="ar-SA"/>
        </w:rPr>
        <w:t xml:space="preserve">(2) Izgled, sadržaj i rokove dostavljanja izvanrednih </w:t>
      </w:r>
      <w:proofErr w:type="spellStart"/>
      <w:r>
        <w:rPr>
          <w:rFonts w:ascii="Times New Roman" w:eastAsia="Times New Roman" w:hAnsi="Times New Roman" w:cs="Times New Roman"/>
          <w:kern w:val="1"/>
          <w:sz w:val="24"/>
          <w:szCs w:val="24"/>
          <w:lang w:val="bs-Latn-BA" w:eastAsia="ar-SA"/>
        </w:rPr>
        <w:t>izvješća</w:t>
      </w:r>
      <w:proofErr w:type="spellEnd"/>
      <w:r>
        <w:rPr>
          <w:rFonts w:ascii="Times New Roman" w:eastAsia="Times New Roman" w:hAnsi="Times New Roman" w:cs="Times New Roman"/>
          <w:kern w:val="1"/>
          <w:sz w:val="24"/>
          <w:szCs w:val="24"/>
          <w:lang w:val="bs-Latn-BA" w:eastAsia="ar-SA"/>
        </w:rPr>
        <w:t xml:space="preserve"> utvrđuje Centralna banka.</w:t>
      </w:r>
    </w:p>
    <w:p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s-Latn-BA"/>
        </w:rPr>
      </w:pPr>
    </w:p>
    <w:p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bs-Latn-B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bs-Latn-BA"/>
        </w:rPr>
        <w:t>Članak 8.</w:t>
      </w:r>
    </w:p>
    <w:p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bs-Latn-B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bs-Latn-BA"/>
        </w:rPr>
        <w:t>(Obavještavanje u slučaju nemogućnosti izvršenja obveze)</w:t>
      </w:r>
    </w:p>
    <w:p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s-Latn-BA"/>
        </w:rPr>
      </w:pPr>
      <w:r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Ukoliko </w:t>
      </w:r>
      <w:r>
        <w:rPr>
          <w:rFonts w:ascii="Times New Roman" w:hAnsi="Times New Roman" w:cs="Times New Roman"/>
          <w:kern w:val="1"/>
          <w:sz w:val="24"/>
          <w:szCs w:val="24"/>
          <w:lang w:val="bs-Latn-BA" w:eastAsia="ar-SA"/>
        </w:rPr>
        <w:t>nadgledani platni sustav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nije u mogućnosti izvršiti bilo koju obvezu iz ove odluke u utvrđenom roku, dužan je odmah obavijestiti Centralnu banku o razlozima i očekivanom vremenu za izvršavanje neispunjenih obveza.</w:t>
      </w:r>
    </w:p>
    <w:p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s-Latn-BA"/>
        </w:rPr>
      </w:pPr>
    </w:p>
    <w:p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bs-Latn-BA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bs-Latn-BA"/>
        </w:rPr>
        <w:t>Članak 9.</w:t>
      </w:r>
    </w:p>
    <w:p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bs-Latn-BA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bs-Latn-BA"/>
        </w:rPr>
        <w:t>(Završne odredbe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)</w:t>
      </w:r>
    </w:p>
    <w:p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  <w:t xml:space="preserve">(1) Ova odluka stupa na snagu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osmog dana od dana objavljivanja na intranetskoj stranici Centralne banke. </w:t>
      </w:r>
    </w:p>
    <w:p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s-Latn-BA"/>
        </w:rPr>
      </w:pPr>
      <w:r>
        <w:rPr>
          <w:rFonts w:ascii="Times New Roman" w:eastAsia="Calibri" w:hAnsi="Times New Roman" w:cs="Times New Roman"/>
          <w:sz w:val="24"/>
          <w:szCs w:val="24"/>
          <w:lang w:val="bs-Latn-BA"/>
        </w:rPr>
        <w:t>(2) Ova odluka će se objaviti i na internetskoj stranici Centralne banke.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</w:pPr>
    </w:p>
    <w:p>
      <w:pPr>
        <w:tabs>
          <w:tab w:val="center" w:pos="680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</w:pP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</w:pPr>
    </w:p>
    <w:p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  <w:t>Predsjedateljica</w:t>
      </w:r>
      <w:proofErr w:type="spellEnd"/>
    </w:p>
    <w:p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  <w:t>Broj: UV-</w:t>
      </w:r>
      <w:r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  <w:t>122-02-1-1505-4</w:t>
      </w:r>
      <w:bookmarkStart w:id="3" w:name="_GoBack"/>
      <w:bookmarkEnd w:id="3"/>
      <w:r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  <w:t>/24</w:t>
      </w:r>
      <w:r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Upravnog vijeća Centralne banke </w:t>
      </w:r>
    </w:p>
    <w:p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sz w:val="24"/>
          <w:szCs w:val="24"/>
          <w:lang w:val="bs-Latn-BA"/>
        </w:rPr>
        <w:t>Sarajevo, 14.08.2024. godine</w:t>
      </w:r>
      <w:r>
        <w:rPr>
          <w:rFonts w:ascii="Times New Roman" w:eastAsia="Times New Roman" w:hAnsi="Times New Roman" w:cs="Times New Roman"/>
          <w:sz w:val="24"/>
          <w:szCs w:val="24"/>
          <w:lang w:val="bs-Latn-B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  <w:t xml:space="preserve">Bosne i Hercegovine </w:t>
      </w:r>
    </w:p>
    <w:p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bs-Latn-B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  <w:t>GUVERNERKA</w:t>
      </w:r>
    </w:p>
    <w:p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  <w:tab/>
        <w:t>dr. Jasmina Selimović</w:t>
      </w:r>
    </w:p>
    <w:p>
      <w:pPr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</w:pPr>
    </w:p>
    <w:sectPr>
      <w:footerReference w:type="default" r:id="rId8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ooter"/>
      <w:jc w:val="center"/>
      <w:rPr>
        <w:rFonts w:ascii="Times New Roman" w:hAnsi="Times New Roman" w:cs="Times New Roman"/>
        <w:caps/>
        <w:noProof/>
      </w:rPr>
    </w:pPr>
    <w:r>
      <w:rPr>
        <w:rFonts w:ascii="Times New Roman" w:hAnsi="Times New Roman" w:cs="Times New Roman"/>
        <w:caps/>
      </w:rPr>
      <w:fldChar w:fldCharType="begin"/>
    </w:r>
    <w:r>
      <w:rPr>
        <w:rFonts w:ascii="Times New Roman" w:hAnsi="Times New Roman" w:cs="Times New Roman"/>
        <w:caps/>
      </w:rPr>
      <w:instrText xml:space="preserve"> PAGE   \* MERGEFORMAT </w:instrText>
    </w:r>
    <w:r>
      <w:rPr>
        <w:rFonts w:ascii="Times New Roman" w:hAnsi="Times New Roman" w:cs="Times New Roman"/>
        <w:caps/>
      </w:rPr>
      <w:fldChar w:fldCharType="separate"/>
    </w:r>
    <w:r>
      <w:rPr>
        <w:rFonts w:ascii="Times New Roman" w:hAnsi="Times New Roman" w:cs="Times New Roman"/>
        <w:caps/>
        <w:noProof/>
      </w:rPr>
      <w:t>3</w:t>
    </w:r>
    <w:r>
      <w:rPr>
        <w:rFonts w:ascii="Times New Roman" w:hAnsi="Times New Roman" w:cs="Times New Roman"/>
        <w:caps/>
        <w:noProof/>
      </w:rPr>
      <w:fldChar w:fldCharType="end"/>
    </w:r>
    <w:r>
      <w:rPr>
        <w:rFonts w:ascii="Times New Roman" w:hAnsi="Times New Roman" w:cs="Times New Roman"/>
        <w:caps/>
        <w:noProof/>
      </w:rPr>
      <w:t>/4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F5A19"/>
    <w:multiLevelType w:val="hybridMultilevel"/>
    <w:tmpl w:val="89A4F96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A6067"/>
    <w:multiLevelType w:val="hybridMultilevel"/>
    <w:tmpl w:val="1C1A5DA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A01F2B"/>
    <w:multiLevelType w:val="hybridMultilevel"/>
    <w:tmpl w:val="C46C0822"/>
    <w:lvl w:ilvl="0" w:tplc="B008C4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B323C4"/>
    <w:multiLevelType w:val="hybridMultilevel"/>
    <w:tmpl w:val="B1BA9BDC"/>
    <w:lvl w:ilvl="0" w:tplc="0409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087D64E3"/>
    <w:multiLevelType w:val="hybridMultilevel"/>
    <w:tmpl w:val="413049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94A45"/>
    <w:multiLevelType w:val="hybridMultilevel"/>
    <w:tmpl w:val="0248E48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3123CC"/>
    <w:multiLevelType w:val="hybridMultilevel"/>
    <w:tmpl w:val="EBC6882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1D450D"/>
    <w:multiLevelType w:val="hybridMultilevel"/>
    <w:tmpl w:val="9918C6C6"/>
    <w:lvl w:ilvl="0" w:tplc="04090017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1A141F08"/>
    <w:multiLevelType w:val="hybridMultilevel"/>
    <w:tmpl w:val="0476839A"/>
    <w:lvl w:ilvl="0" w:tplc="675A6EBE">
      <w:start w:val="1"/>
      <w:numFmt w:val="lowerLetter"/>
      <w:lvlText w:val="%1)"/>
      <w:lvlJc w:val="left"/>
      <w:pPr>
        <w:ind w:left="360" w:firstLine="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625F2D"/>
    <w:multiLevelType w:val="hybridMultilevel"/>
    <w:tmpl w:val="2052328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A51A6B"/>
    <w:multiLevelType w:val="hybridMultilevel"/>
    <w:tmpl w:val="6438330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6E7E2E"/>
    <w:multiLevelType w:val="hybridMultilevel"/>
    <w:tmpl w:val="13C82C8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E5848EFC">
      <w:start w:val="1"/>
      <w:numFmt w:val="decimal"/>
      <w:lvlText w:val="%2."/>
      <w:lvlJc w:val="left"/>
      <w:pPr>
        <w:ind w:left="1650" w:hanging="570"/>
      </w:pPr>
      <w:rPr>
        <w:rFonts w:hint="default"/>
      </w:r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1D3555"/>
    <w:multiLevelType w:val="hybridMultilevel"/>
    <w:tmpl w:val="49E429B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A50D9A"/>
    <w:multiLevelType w:val="hybridMultilevel"/>
    <w:tmpl w:val="062883A6"/>
    <w:lvl w:ilvl="0" w:tplc="E2F802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873F4E"/>
    <w:multiLevelType w:val="hybridMultilevel"/>
    <w:tmpl w:val="F8682F9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"/>
  </w:num>
  <w:num w:numId="3">
    <w:abstractNumId w:val="7"/>
  </w:num>
  <w:num w:numId="4">
    <w:abstractNumId w:val="12"/>
  </w:num>
  <w:num w:numId="5">
    <w:abstractNumId w:val="4"/>
  </w:num>
  <w:num w:numId="6">
    <w:abstractNumId w:val="2"/>
  </w:num>
  <w:num w:numId="7">
    <w:abstractNumId w:val="14"/>
  </w:num>
  <w:num w:numId="8">
    <w:abstractNumId w:val="9"/>
  </w:num>
  <w:num w:numId="9">
    <w:abstractNumId w:val="1"/>
  </w:num>
  <w:num w:numId="10">
    <w:abstractNumId w:val="11"/>
  </w:num>
  <w:num w:numId="11">
    <w:abstractNumId w:val="8"/>
  </w:num>
  <w:num w:numId="12">
    <w:abstractNumId w:val="5"/>
  </w:num>
  <w:num w:numId="13">
    <w:abstractNumId w:val="0"/>
  </w:num>
  <w:num w:numId="14">
    <w:abstractNumId w:val="1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FB5BA0-D38A-42C7-B4C5-E6A956B74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41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99F7E0-0A48-478A-9911-498F57B61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1537</Words>
  <Characters>8765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Halid Tvico</dc:creator>
  <cp:keywords/>
  <dc:description/>
  <cp:lastModifiedBy>Damir Soco</cp:lastModifiedBy>
  <cp:revision>7</cp:revision>
  <dcterms:created xsi:type="dcterms:W3CDTF">2024-07-17T10:06:00Z</dcterms:created>
  <dcterms:modified xsi:type="dcterms:W3CDTF">2024-09-04T12:37:00Z</dcterms:modified>
</cp:coreProperties>
</file>