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На основу члана 2. став 3. тачка ц), члана 7. тачка б), чланова 58, 68. и 70. Закона о Централној банци Босне и Херцеговине (“Службени гласник БиХ“, бр. 1/97, 29/02, 8/03 13/03, 14/03, 9/05, 76/06 и 32/07) и чланова 5, 12, 14. и 21. Одлуке о надгледању функционисања платних система (“Службени гласник БиХ“, бр. 76/22), Управни одбор Централне банке Босне и Херцеговине, на 12. сједници одржаној дана 14.08.2024. године, доноси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ОДЛУКУ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О ДОСТАВЉАЊУ ПОДАТАКА О ФУНКЦИОНИСАЊУ ПЛАТНОГ СИСТЕМА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1.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(Предмет одлуке)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bs-Cyrl-BA" w:eastAsia="hr-HR"/>
        </w:rPr>
      </w:pPr>
      <w:r>
        <w:rPr>
          <w:rFonts w:ascii="Times New Roman" w:hAnsi="Times New Roman" w:cs="Times New Roman"/>
          <w:kern w:val="20"/>
          <w:sz w:val="24"/>
          <w:szCs w:val="24"/>
          <w:lang w:val="bs-Cyrl-BA" w:eastAsia="hr-HR"/>
        </w:rPr>
        <w:t>Овом Одлуком детаљније се уређује садржај и начин достављања извјештаја, докумената и других података од стране надгледаних платних система који су одређени чланом 2. Одлуке о надгледању функционисања платних система („Службени гласник БиХ“, бр. 76/22), односно платних система које Централна банка Босне и Херцеговине у складу са чланом 2 став 3 тачка ц Закона о Централној банци Босне и Херцеговине потпомаже или успоставља и одржава, класификовани у складу са чланом 6 Одлуке о надгледање функционисања платних система („Службени гласник БиХ“, бр. 76/22).</w:t>
      </w:r>
    </w:p>
    <w:p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bs-Cyrl-BA" w:eastAsia="hr-HR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2.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(Врсте извјештаја, докумената и података)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Надгледани платни систем припрема и доставља Централној банци сљедеће врсте извјештаја, докумената и података: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а)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извјештај о функционисању платног система;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извјештаји, документи и подаци о перформансама, архитектури, промјенама архитектуре, учесницима и осталим битним аспектима функционисања платног система;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ц)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извјештаје о инциденту у платном систему;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извјештаје о управљању ризицима платног система.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3.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(Извјештај о функционисању платног система)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(1) Надгледани платни систем је дужан Централној банци достављати извјештај о функционисању платног система који обухвата минимално сљедеће квантитативне и квалитативне податке: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а)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списак учесника (пуни назив учесника из рјешења о регистрацији правног лица);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радни дани система у извјештајном периоду (уколико систем није радио на дан који није прописан као нерадни дан правилима рада система потребно је навести разлог);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ц)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број и вриједност извршених трансакција по дану;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број и вриједност извршених трансакција за сваког учесника по дану;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е)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број и вриједност извршених трансакција поравнања за системе који се поравнавају у платном систему по дану;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ф)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број и вриједност трансакција на дан највећег промета;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г)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број и вриједност трансакција у часу највећег промета;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х)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број и вриједност трансакција за интервале у БАМ: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1)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0,01 – 10,00,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2)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10,01 – 100,00,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100,01 – 500,00,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4)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500,01 – 2000,00,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5)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2000,01 – 5.000,00,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6)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5.000,01 – 10.000,00,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7)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10.000,01 – 20.000,00,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8)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20.000,01 – 100.000,00,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9)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100.000,01 – више;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и)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број и трајање прекида у раду платног система (уписати податке по сваком забиљеженом прекиду и агрегатно за извјештајни период и временски интервал) и опис за сваки прекид;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ј)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број и трајање продужења радног дана система (уписати податке по сваком забиљеженом продужењу и агрегатно за извјештајни период и временски интервал) и опис за свако продужење;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к)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преглед непоравнатих плаћања по дану и учеснику;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л)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преглед одгођених плаћања по дану и учеснику;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м)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коришћење додатних извора због застоја у поравнању (број, вриједност и врста налога код којих се десио застој у поравнању, те вриједност мобилисаних додатних средстава);</w:t>
      </w:r>
    </w:p>
    <w:p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н)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информације о опозиву поравнања (навести дан, број и вриједност, те разлог опозива поравнања).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(2) Извјештај из става (1) овог члана се достављају мјесечно у року од три радна дана по истеку извјештајног мјесеца.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4.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(Извјештаји, документи и подаци о перформансама, архитектури, промјенама архитектуре, учесницима и осталим битним аспектима функционисања платног система)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(1) Надгледани платни систем је дужан доставити Централној банци све доступне извјештаје, документе и податке о перформансама, архитектури, промјенама архитектуре, учесницима и осталим битним аспектима функционисања платног система и то како слиједи: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а)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актуелна организација управљања платним системом (актуелне верзије организационе шеме и релевантне информације о надлежностима када је у питању организација платног система);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актуелне верзије кључних докумената везани за дизајн и функционисање система;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ц)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извјештај који садржи релевантну документацију која потврђује оперативни капацитет система, односно тестирање скалабилности и адекватност капацитета за управљање пројицираним волуменима стреса;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анализе циљева који служе као мјерило за процјену ефикасности и ефективности платног система;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е)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актуелне верзије правних, организацијских и техничких аранжмана са пружаоцима услуга;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ф)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актуелне верзије ревизорских извјештаја;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г)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извјештаје о учесницима у платном систему одмах по настанку, а који обухватају искључење учесника, поновно укључење учесника, укључење новог учесника, статусне промјене учесника;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х)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уговоре са учесницима, информације и извјештаје о релевантној кореспонденцији са учесницима у платном систему о питањима и документима од значаја за функционисање платног система (нпр. записници са састанака, повратне информације од учесника и сл.)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lastRenderedPageBreak/>
        <w:t>и)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уговоре, информације и извјештаје о кореспонденцији које надгледани платни систем води с интерним или екстерним пружаоцима услуга;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ј)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планове за континуитет пословања и планове за управљање кризом;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к)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планове тестирања континуитета пословања и планове тестирања за управљање кризом одмах по настанку, а најкасније до почетка календарске године на коју се планирање односи;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л)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извјештаје о извршеним редовним и ванредним тестирањима континуитета пословања и управљања кризом одмах по завршеном тестирању, а најкасније у року од три радна дана по завршеном тестирању;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м)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документацију и све друге релевантне информације везане за промјене правила рада система;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н)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документацију и све друге релевантне информације везане за промјене у архитектури система, што укључује документе и извјештаје којима се потврђује информисање учесника у платном систему о промјени, те пратеће извјештаје о проведеном тестирању, те процјени ризика промјене, најкасније у року од три радна дана по настанку промјене;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о)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документацију и све друге релевантне информације везане за промјене у вези с другим системима одмах по настанку промјене, а најкасније у року од три радна дана по настанку промјене, осим за промјене утврђене ставом (3) овог члана;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п)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стратешке и годишње планове за промјене у платном систему које се тичу пословног модела, аранжмана управљања, као и за главне промјене у вези са технологијом или капацитетом система, укључујући и иницијалну пројектну документацију и студије изводљивости за нове пројекте одмах по доношењу, а најкасније до почетка календарске године на коју се планирање односи.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(2) Надгледани платни систем је дужан Централној банци доставити извјештаје, документе и податке: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а)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 тачака а), б), е), ф), м) става (1) овог члана у року од 30 дана од дана настанка;</w:t>
      </w:r>
    </w:p>
    <w:p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из тачака ц), д), х), и), ј) става (1) овог члана минимално једном годишње;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(3) У случају промјена које могу имати значајан утицај на рад платног система у смислу промјене усклађености са принципима и прописима које доноси Централна банка, надгледани платни систем је дужан о томе обавијестити Централну банку најкасније 10 радних дана прије планиране имплементације промјене.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5.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(Извјештаји о инциденту у платном систему)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(1) Надгледани платни систем је у случају инцидента у платном систему дужан Централну банку обавијестити о томе најкасније наредни радни дан од настанка инцидента и доставити све доступне податке и информације, а у року од три дана од настанка инцидента доставити и извјештај о инциденту у платном систему.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(2) Извјештај о инциденту у платном систему из става (1) овог члана садржи минимално сљедеће податке:</w:t>
      </w:r>
    </w:p>
    <w:p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а)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датум и вријеме настанка инцидента,</w:t>
      </w:r>
    </w:p>
    <w:p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временско трајање инцидента,</w:t>
      </w:r>
    </w:p>
    <w:p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ц)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утицај на ниво услуге платног система (са свим доступним квалитативним и квантитативним подацима),</w:t>
      </w:r>
    </w:p>
    <w:p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д)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утицај на учеснике платног система,</w:t>
      </w:r>
    </w:p>
    <w:p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е)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о предузетим радњама у циљу обавјештавања и информисања учесника платног система, пружаоца критичних услуга платног система и по потреби осталих заинтересованих страна, а прије свега оних са повезаним инфраструктурама финансијског тржишта.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lastRenderedPageBreak/>
        <w:t>(3) Надгледани платни систем је дужан Централној банци у року од 20 радних дана од дана настанка инцидента доставити и извјештај са информацијама о свеобухватном опису инцидента које укључују идентификовање главног узрока настанка инцидента, а ако је могуће и све детаље у вези са корективним активностима које су подузете.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(4) Уколико Централна банка оцијени да је извјештај из става (3) овог члана непотпун, надгледани платни систем је дужан сваких 90 дана извјештавати Централну банку о статусу предузетних активности све до достављања потпуног извјештаја у смислу става (3) овог члана.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6.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(Извјештај о управљању ризицима платног система)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(1) Надгледани платни систем је дужан Централној банци најкасније до 31.03. текуће године за претходну годину доставити извјештај о управљању ризицима платног система који садржи методолошки оквир и све потребне информације о идентификованим ризицима, оцјени ризика и подузетим акцијама.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(2) Уколико се деси околност која утиче на промјену врсте или нивоа ризика, или на промјену управљања ризицима платног система, надгледани платни систем је о томе дужан у што краћем року, а не дужем од 30 дана од настанка предметне околности доставити извјештај Централној банци о околностима, утицају промјене на профил ризика и управљање.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7.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(Остали извјештаји, документи и подаци)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(1) Надгледани платни систем је дужан на захтјев Централне банке доставити и ванредне извјештаје о функционисању платног система.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(2) Изглед, садржај и рокове достављања ванредних извјештаја утврђује Централна банка.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8.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(Обавјештавање у случају немогућности извршења обавезе)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Уколико надгледани платни систем није у могућности извршити било коју обавезу из ове одлуке у утврђеном року, дужан је одмах обавијестити Централну банку о разлозима и очекиваном времену за извршавање неиспуњених обавеза.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Члан 9.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(Завршне одредбе)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(1) Ова одлука ступа на снагу осмог дана од дана објављивања на интранет страници Централне банке.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(2) Ова одлука ће се објавити и на интернет страници Централне банке.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  Предсједавајућа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Број: УВ-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122-02-1-1505-4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Cyrl-BA"/>
        </w:rPr>
        <w:t>/24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Управног одбора Централне банке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Сарајево, </w:t>
      </w:r>
      <w:r>
        <w:rPr>
          <w:rFonts w:ascii="Times New Roman" w:hAnsi="Times New Roman" w:cs="Times New Roman"/>
          <w:sz w:val="24"/>
          <w:szCs w:val="24"/>
          <w:lang w:val="bs-Latn-BA"/>
        </w:rPr>
        <w:t>14.08.2024.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         Босне и Херцеговине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   ГУВЕРНЕРКА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         др Јасмина Селимовић</w:t>
      </w:r>
    </w:p>
    <w:p>
      <w:pPr>
        <w:rPr>
          <w:rFonts w:ascii="Times New Roman" w:eastAsia="Times New Roman" w:hAnsi="Times New Roman" w:cs="Times New Roman"/>
          <w:sz w:val="24"/>
          <w:szCs w:val="24"/>
          <w:lang w:val="bs-Cyrl-BA" w:eastAsia="hr-HR"/>
        </w:rPr>
      </w:pPr>
    </w:p>
    <w:sectPr>
      <w:footerReference w:type="default" r:id="rId8"/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rFonts w:ascii="Times New Roman" w:hAnsi="Times New Roman" w:cs="Times New Roman"/>
        <w:caps/>
        <w:noProof/>
      </w:rPr>
    </w:pPr>
    <w:r>
      <w:rPr>
        <w:rFonts w:ascii="Times New Roman" w:hAnsi="Times New Roman" w:cs="Times New Roman"/>
        <w:caps/>
      </w:rPr>
      <w:fldChar w:fldCharType="begin"/>
    </w:r>
    <w:r>
      <w:rPr>
        <w:rFonts w:ascii="Times New Roman" w:hAnsi="Times New Roman" w:cs="Times New Roman"/>
        <w:caps/>
      </w:rPr>
      <w:instrText xml:space="preserve"> PAGE   \* MERGEFORMAT </w:instrText>
    </w:r>
    <w:r>
      <w:rPr>
        <w:rFonts w:ascii="Times New Roman" w:hAnsi="Times New Roman" w:cs="Times New Roman"/>
        <w:caps/>
      </w:rPr>
      <w:fldChar w:fldCharType="separate"/>
    </w:r>
    <w:r>
      <w:rPr>
        <w:rFonts w:ascii="Times New Roman" w:hAnsi="Times New Roman" w:cs="Times New Roman"/>
        <w:caps/>
        <w:noProof/>
      </w:rPr>
      <w:t>3</w:t>
    </w:r>
    <w:r>
      <w:rPr>
        <w:rFonts w:ascii="Times New Roman" w:hAnsi="Times New Roman" w:cs="Times New Roman"/>
        <w:caps/>
        <w:noProof/>
      </w:rPr>
      <w:fldChar w:fldCharType="end"/>
    </w:r>
    <w:r>
      <w:rPr>
        <w:rFonts w:ascii="Times New Roman" w:hAnsi="Times New Roman" w:cs="Times New Roman"/>
        <w:caps/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A19"/>
    <w:multiLevelType w:val="hybridMultilevel"/>
    <w:tmpl w:val="89A4F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067"/>
    <w:multiLevelType w:val="hybridMultilevel"/>
    <w:tmpl w:val="1C1A5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01F2B"/>
    <w:multiLevelType w:val="hybridMultilevel"/>
    <w:tmpl w:val="C46C0822"/>
    <w:lvl w:ilvl="0" w:tplc="B008C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323C4"/>
    <w:multiLevelType w:val="hybridMultilevel"/>
    <w:tmpl w:val="B1BA9BDC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7D64E3"/>
    <w:multiLevelType w:val="hybridMultilevel"/>
    <w:tmpl w:val="41304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4A45"/>
    <w:multiLevelType w:val="hybridMultilevel"/>
    <w:tmpl w:val="0248E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3CC"/>
    <w:multiLevelType w:val="hybridMultilevel"/>
    <w:tmpl w:val="EBC68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50D"/>
    <w:multiLevelType w:val="hybridMultilevel"/>
    <w:tmpl w:val="9918C6C6"/>
    <w:lvl w:ilvl="0" w:tplc="040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141F08"/>
    <w:multiLevelType w:val="hybridMultilevel"/>
    <w:tmpl w:val="0476839A"/>
    <w:lvl w:ilvl="0" w:tplc="675A6EB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25F2D"/>
    <w:multiLevelType w:val="hybridMultilevel"/>
    <w:tmpl w:val="20523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1A6B"/>
    <w:multiLevelType w:val="hybridMultilevel"/>
    <w:tmpl w:val="64383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E7E2E"/>
    <w:multiLevelType w:val="hybridMultilevel"/>
    <w:tmpl w:val="13C82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5848EFC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3555"/>
    <w:multiLevelType w:val="hybridMultilevel"/>
    <w:tmpl w:val="49E4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50D9A"/>
    <w:multiLevelType w:val="hybridMultilevel"/>
    <w:tmpl w:val="062883A6"/>
    <w:lvl w:ilvl="0" w:tplc="E2F80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73F4E"/>
    <w:multiLevelType w:val="hybridMultilevel"/>
    <w:tmpl w:val="F8682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B5BA0-D38A-42C7-B4C5-E6A956B7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672F-C664-4399-9E4B-74426A0B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Tvico</dc:creator>
  <cp:keywords/>
  <dc:description/>
  <cp:lastModifiedBy>Damir Soco</cp:lastModifiedBy>
  <cp:revision>9</cp:revision>
  <cp:lastPrinted>2024-08-30T09:33:00Z</cp:lastPrinted>
  <dcterms:created xsi:type="dcterms:W3CDTF">2024-07-17T10:06:00Z</dcterms:created>
  <dcterms:modified xsi:type="dcterms:W3CDTF">2024-09-04T12:37:00Z</dcterms:modified>
</cp:coreProperties>
</file>