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both"/>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На основу члана 2. став 3. тачке а. и д., члана 7. тачке б), и чланова 32. и 70. Закона о Централној банци Босне и Херцеговине („Службени гласник БиХ”, бр. 1/97, 29/02, 8/03, 13/03, 14/03, 9/05, 76/06 и 32/07), Управни одбор Централне банке Босне и Херцеговине, на 17. сједници одржаној дана 27.12.2022. године доноси</w:t>
      </w:r>
    </w:p>
    <w:p>
      <w:pPr>
        <w:spacing w:after="0" w:line="240" w:lineRule="auto"/>
        <w:rPr>
          <w:rFonts w:ascii="Times New Roman" w:eastAsia="Times New Roman" w:hAnsi="Times New Roman" w:cs="Times New Roman"/>
          <w:b/>
          <w:spacing w:val="40"/>
          <w:sz w:val="24"/>
          <w:szCs w:val="24"/>
          <w:lang w:val="sr-Cyrl-BA"/>
        </w:rPr>
      </w:pPr>
    </w:p>
    <w:p>
      <w:pPr>
        <w:spacing w:after="0" w:line="240" w:lineRule="auto"/>
        <w:rPr>
          <w:rFonts w:ascii="Times New Roman" w:eastAsia="Times New Roman" w:hAnsi="Times New Roman" w:cs="Times New Roman"/>
          <w:b/>
          <w:spacing w:val="40"/>
          <w:sz w:val="24"/>
          <w:szCs w:val="24"/>
          <w:lang w:val="sr-Cyrl-BA"/>
        </w:rPr>
      </w:pPr>
    </w:p>
    <w:p>
      <w:pPr>
        <w:spacing w:after="0" w:line="240" w:lineRule="auto"/>
        <w:jc w:val="center"/>
        <w:rPr>
          <w:rFonts w:ascii="Times New Roman" w:eastAsia="Times New Roman" w:hAnsi="Times New Roman" w:cs="Times New Roman"/>
          <w:b/>
          <w:caps/>
          <w:sz w:val="24"/>
          <w:szCs w:val="24"/>
          <w:lang w:val="sr-Cyrl-BA"/>
        </w:rPr>
      </w:pPr>
      <w:r>
        <w:rPr>
          <w:rFonts w:ascii="Times New Roman" w:eastAsia="Times New Roman" w:hAnsi="Times New Roman" w:cs="Times New Roman"/>
          <w:b/>
          <w:caps/>
          <w:sz w:val="24"/>
          <w:szCs w:val="24"/>
          <w:lang w:val="sr-Cyrl-BA"/>
        </w:rPr>
        <w:t>Одлуку О измјенАМА И ДОПУНАМА</w:t>
      </w:r>
    </w:p>
    <w:p>
      <w:pPr>
        <w:spacing w:after="0" w:line="240" w:lineRule="auto"/>
        <w:jc w:val="center"/>
        <w:rPr>
          <w:rFonts w:ascii="Times New Roman" w:eastAsia="Times New Roman" w:hAnsi="Times New Roman" w:cs="Times New Roman"/>
          <w:caps/>
          <w:sz w:val="24"/>
          <w:szCs w:val="24"/>
          <w:lang w:val="sr-Cyrl-BA"/>
        </w:rPr>
      </w:pPr>
      <w:r>
        <w:rPr>
          <w:rFonts w:ascii="Times New Roman" w:eastAsia="Times New Roman" w:hAnsi="Times New Roman" w:cs="Times New Roman"/>
          <w:b/>
          <w:caps/>
          <w:sz w:val="24"/>
          <w:szCs w:val="24"/>
          <w:lang w:val="sr-Cyrl-BA"/>
        </w:rPr>
        <w:t>Одлуке о курсној листи Централне банке Босне и Херцеговине</w:t>
      </w:r>
    </w:p>
    <w:p>
      <w:pPr>
        <w:spacing w:after="0" w:line="240" w:lineRule="auto"/>
        <w:jc w:val="center"/>
        <w:rPr>
          <w:rFonts w:ascii="Times New Roman" w:eastAsia="Times New Roman" w:hAnsi="Times New Roman" w:cs="Times New Roman"/>
          <w:sz w:val="24"/>
          <w:szCs w:val="24"/>
          <w:lang w:val="sr-Cyrl-BA"/>
        </w:rPr>
      </w:pPr>
    </w:p>
    <w:p>
      <w:pPr>
        <w:spacing w:after="0" w:line="240" w:lineRule="auto"/>
        <w:jc w:val="center"/>
        <w:rPr>
          <w:rFonts w:ascii="Times New Roman" w:eastAsia="Times New Roman" w:hAnsi="Times New Roman" w:cs="Times New Roman"/>
          <w:sz w:val="24"/>
          <w:szCs w:val="24"/>
          <w:lang w:val="sr-Cyrl-BA"/>
        </w:rPr>
      </w:pPr>
    </w:p>
    <w:p>
      <w:pPr>
        <w:spacing w:after="0" w:line="240" w:lineRule="auto"/>
        <w:jc w:val="center"/>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Члан 1.</w:t>
      </w:r>
    </w:p>
    <w:p>
      <w:pPr>
        <w:spacing w:after="0" w:line="240" w:lineRule="auto"/>
        <w:jc w:val="both"/>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 xml:space="preserve">(1) У Одлуци о </w:t>
      </w:r>
      <w:proofErr w:type="spellStart"/>
      <w:r>
        <w:rPr>
          <w:rFonts w:ascii="Times New Roman" w:eastAsia="Times New Roman" w:hAnsi="Times New Roman" w:cs="Times New Roman"/>
          <w:sz w:val="24"/>
          <w:szCs w:val="24"/>
          <w:lang w:val="sr-Cyrl-BA"/>
        </w:rPr>
        <w:t>курсној</w:t>
      </w:r>
      <w:proofErr w:type="spellEnd"/>
      <w:r>
        <w:rPr>
          <w:rFonts w:ascii="Times New Roman" w:eastAsia="Times New Roman" w:hAnsi="Times New Roman" w:cs="Times New Roman"/>
          <w:sz w:val="24"/>
          <w:szCs w:val="24"/>
          <w:lang w:val="sr-Cyrl-BA"/>
        </w:rPr>
        <w:t xml:space="preserve"> листи Централне банке Босне и Херцеговине („Службени гласник БиХ“, бр. 83/20) у табели члана 2. ријеч: „Јединице“ замјењује се ријечју „Јединица“, а ријечи: „Кинески </w:t>
      </w:r>
      <w:proofErr w:type="spellStart"/>
      <w:r>
        <w:rPr>
          <w:rFonts w:ascii="Times New Roman" w:eastAsia="Times New Roman" w:hAnsi="Times New Roman" w:cs="Times New Roman"/>
          <w:sz w:val="24"/>
          <w:szCs w:val="24"/>
          <w:lang w:val="sr-Cyrl-BA"/>
        </w:rPr>
        <w:t>yuan</w:t>
      </w:r>
      <w:proofErr w:type="spellEnd"/>
      <w:r>
        <w:rPr>
          <w:rFonts w:ascii="Times New Roman" w:eastAsia="Times New Roman" w:hAnsi="Times New Roman" w:cs="Times New Roman"/>
          <w:sz w:val="24"/>
          <w:szCs w:val="24"/>
          <w:lang w:val="sr-Cyrl-BA"/>
        </w:rPr>
        <w:t xml:space="preserve">“ замјењују се ријечима: „Кинески јуан </w:t>
      </w:r>
      <w:proofErr w:type="spellStart"/>
      <w:r>
        <w:rPr>
          <w:rFonts w:ascii="Times New Roman" w:eastAsia="Times New Roman" w:hAnsi="Times New Roman" w:cs="Times New Roman"/>
          <w:sz w:val="24"/>
          <w:szCs w:val="24"/>
          <w:lang w:val="sr-Cyrl-BA"/>
        </w:rPr>
        <w:t>ренминби</w:t>
      </w:r>
      <w:proofErr w:type="spellEnd"/>
      <w:r>
        <w:rPr>
          <w:rFonts w:ascii="Times New Roman" w:eastAsia="Times New Roman" w:hAnsi="Times New Roman" w:cs="Times New Roman"/>
          <w:sz w:val="24"/>
          <w:szCs w:val="24"/>
          <w:lang w:val="sr-Cyrl-BA"/>
        </w:rPr>
        <w:t>“.</w:t>
      </w:r>
    </w:p>
    <w:p>
      <w:pPr>
        <w:spacing w:after="0" w:line="240" w:lineRule="auto"/>
        <w:jc w:val="both"/>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(2) У табели члана 2. брише се ред који гласи: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410"/>
        <w:gridCol w:w="1418"/>
        <w:gridCol w:w="992"/>
        <w:gridCol w:w="851"/>
        <w:gridCol w:w="250"/>
      </w:tblGrid>
      <w:tr>
        <w:trPr>
          <w:trHeight w:val="190"/>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pPr>
              <w:suppressAutoHyphens/>
              <w:spacing w:after="0" w:line="240" w:lineRule="auto"/>
              <w:rPr>
                <w:rFonts w:ascii="Times New Roman" w:eastAsia="Times New Roman" w:hAnsi="Times New Roman" w:cs="Times New Roman"/>
                <w:sz w:val="24"/>
                <w:szCs w:val="24"/>
                <w:lang w:val="sr-Cyrl-BA" w:eastAsia="zh-CN"/>
              </w:rPr>
            </w:pPr>
            <w:r>
              <w:rPr>
                <w:rFonts w:ascii="Times New Roman" w:eastAsia="Times New Roman" w:hAnsi="Times New Roman" w:cs="Times New Roman"/>
                <w:sz w:val="24"/>
                <w:szCs w:val="24"/>
                <w:lang w:val="sr-Cyrl-BA" w:eastAsia="zh-CN"/>
              </w:rPr>
              <w:t>Република Хрватска</w:t>
            </w:r>
          </w:p>
        </w:tc>
        <w:tc>
          <w:tcPr>
            <w:tcW w:w="2410" w:type="dxa"/>
            <w:tcBorders>
              <w:top w:val="single" w:sz="4" w:space="0" w:color="auto"/>
              <w:left w:val="single" w:sz="4" w:space="0" w:color="auto"/>
              <w:bottom w:val="single" w:sz="4" w:space="0" w:color="auto"/>
              <w:right w:val="single" w:sz="4" w:space="0" w:color="auto"/>
            </w:tcBorders>
            <w:vAlign w:val="center"/>
            <w:hideMark/>
          </w:tcPr>
          <w:p>
            <w:pPr>
              <w:suppressAutoHyphens/>
              <w:spacing w:after="0" w:line="240" w:lineRule="auto"/>
              <w:rPr>
                <w:rFonts w:ascii="Times New Roman" w:eastAsia="Times New Roman" w:hAnsi="Times New Roman" w:cs="Times New Roman"/>
                <w:sz w:val="24"/>
                <w:szCs w:val="24"/>
                <w:lang w:val="sr-Cyrl-BA" w:eastAsia="zh-CN"/>
              </w:rPr>
            </w:pPr>
            <w:r>
              <w:rPr>
                <w:rFonts w:ascii="Times New Roman" w:eastAsia="Times New Roman" w:hAnsi="Times New Roman" w:cs="Times New Roman"/>
                <w:sz w:val="24"/>
                <w:szCs w:val="24"/>
                <w:lang w:val="sr-Cyrl-BA" w:eastAsia="zh-CN"/>
              </w:rPr>
              <w:t>Хрватска куна</w:t>
            </w:r>
          </w:p>
        </w:tc>
        <w:tc>
          <w:tcPr>
            <w:tcW w:w="1418"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sz w:val="24"/>
                <w:szCs w:val="24"/>
                <w:lang w:val="sr-Cyrl-BA" w:eastAsia="zh-CN"/>
              </w:rPr>
            </w:pPr>
            <w:r>
              <w:rPr>
                <w:rFonts w:ascii="Times New Roman" w:eastAsia="Times New Roman" w:hAnsi="Times New Roman" w:cs="Times New Roman"/>
                <w:sz w:val="24"/>
                <w:szCs w:val="24"/>
                <w:lang w:val="sr-Cyrl-BA" w:eastAsia="zh-CN"/>
              </w:rPr>
              <w:t>HRK</w:t>
            </w:r>
          </w:p>
        </w:tc>
        <w:tc>
          <w:tcPr>
            <w:tcW w:w="992" w:type="dxa"/>
            <w:tcBorders>
              <w:top w:val="single" w:sz="4" w:space="0" w:color="auto"/>
              <w:left w:val="single" w:sz="4" w:space="0" w:color="auto"/>
              <w:bottom w:val="single" w:sz="4" w:space="0" w:color="auto"/>
              <w:right w:val="single" w:sz="4" w:space="0" w:color="auto"/>
            </w:tcBorders>
            <w:vAlign w:val="center"/>
            <w:hideMark/>
          </w:tcPr>
          <w:p>
            <w:pPr>
              <w:suppressAutoHyphens/>
              <w:spacing w:after="0" w:line="240" w:lineRule="auto"/>
              <w:jc w:val="center"/>
              <w:rPr>
                <w:rFonts w:ascii="Times New Roman" w:eastAsia="Times New Roman" w:hAnsi="Times New Roman" w:cs="Times New Roman"/>
                <w:sz w:val="24"/>
                <w:szCs w:val="24"/>
                <w:lang w:val="sr-Cyrl-BA" w:eastAsia="zh-CN"/>
              </w:rPr>
            </w:pPr>
            <w:r>
              <w:rPr>
                <w:rFonts w:ascii="Times New Roman" w:eastAsia="Times New Roman" w:hAnsi="Times New Roman" w:cs="Times New Roman"/>
                <w:sz w:val="24"/>
                <w:szCs w:val="24"/>
                <w:lang w:val="sr-Cyrl-BA" w:eastAsia="zh-CN"/>
              </w:rPr>
              <w:t>191</w:t>
            </w:r>
          </w:p>
        </w:tc>
        <w:tc>
          <w:tcPr>
            <w:tcW w:w="851" w:type="dxa"/>
            <w:tcBorders>
              <w:top w:val="single" w:sz="4" w:space="0" w:color="auto"/>
              <w:left w:val="single" w:sz="4" w:space="0" w:color="auto"/>
              <w:bottom w:val="single" w:sz="4" w:space="0" w:color="auto"/>
              <w:right w:val="single" w:sz="4" w:space="0" w:color="auto"/>
            </w:tcBorders>
            <w:vAlign w:val="center"/>
            <w:hideMark/>
          </w:tcPr>
          <w:p>
            <w:pPr>
              <w:suppressAutoHyphens/>
              <w:spacing w:after="0" w:line="240" w:lineRule="auto"/>
              <w:jc w:val="right"/>
              <w:rPr>
                <w:rFonts w:ascii="Times New Roman" w:eastAsia="Times New Roman" w:hAnsi="Times New Roman" w:cs="Times New Roman"/>
                <w:sz w:val="24"/>
                <w:szCs w:val="24"/>
                <w:lang w:val="sr-Cyrl-BA" w:eastAsia="zh-CN"/>
              </w:rPr>
            </w:pPr>
            <w:r>
              <w:rPr>
                <w:rFonts w:ascii="Times New Roman" w:eastAsia="Times New Roman" w:hAnsi="Times New Roman" w:cs="Times New Roman"/>
                <w:sz w:val="24"/>
                <w:szCs w:val="24"/>
                <w:lang w:val="sr-Cyrl-BA" w:eastAsia="zh-CN"/>
              </w:rPr>
              <w:t>100</w:t>
            </w:r>
          </w:p>
        </w:tc>
        <w:tc>
          <w:tcPr>
            <w:tcW w:w="250" w:type="dxa"/>
            <w:tcBorders>
              <w:top w:val="nil"/>
              <w:left w:val="single" w:sz="4" w:space="0" w:color="auto"/>
              <w:bottom w:val="nil"/>
              <w:right w:val="nil"/>
            </w:tcBorders>
          </w:tcPr>
          <w:p>
            <w:pPr>
              <w:suppressAutoHyphens/>
              <w:spacing w:after="0" w:line="240" w:lineRule="auto"/>
              <w:jc w:val="right"/>
              <w:rPr>
                <w:rFonts w:ascii="Times New Roman" w:eastAsia="Times New Roman" w:hAnsi="Times New Roman" w:cs="Times New Roman"/>
                <w:sz w:val="24"/>
                <w:szCs w:val="24"/>
                <w:lang w:val="sr-Cyrl-BA" w:eastAsia="zh-CN"/>
              </w:rPr>
            </w:pPr>
            <w:r>
              <w:rPr>
                <w:rFonts w:ascii="Times New Roman" w:eastAsia="Times New Roman" w:hAnsi="Times New Roman" w:cs="Times New Roman"/>
                <w:sz w:val="24"/>
                <w:szCs w:val="24"/>
                <w:lang w:val="sr-Cyrl-BA" w:eastAsia="zh-CN"/>
              </w:rPr>
              <w:t>.</w:t>
            </w:r>
          </w:p>
        </w:tc>
      </w:tr>
    </w:tbl>
    <w:p>
      <w:pPr>
        <w:spacing w:after="0" w:line="240" w:lineRule="auto"/>
        <w:jc w:val="both"/>
        <w:rPr>
          <w:rFonts w:ascii="Times New Roman" w:eastAsia="Times New Roman" w:hAnsi="Times New Roman" w:cs="Times New Roman"/>
          <w:sz w:val="24"/>
          <w:szCs w:val="24"/>
          <w:lang w:val="sr-Cyrl-BA"/>
        </w:rPr>
      </w:pPr>
    </w:p>
    <w:p>
      <w:pPr>
        <w:spacing w:after="0" w:line="240" w:lineRule="auto"/>
        <w:jc w:val="center"/>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Члан 2.</w:t>
      </w:r>
    </w:p>
    <w:p>
      <w:pPr>
        <w:spacing w:after="0" w:line="240" w:lineRule="auto"/>
        <w:jc w:val="both"/>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Члан 3. мијења се и гласи:</w:t>
      </w:r>
    </w:p>
    <w:p>
      <w:pPr>
        <w:spacing w:after="0" w:line="240" w:lineRule="auto"/>
        <w:jc w:val="center"/>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„Члан 3.</w:t>
      </w:r>
    </w:p>
    <w:p>
      <w:pPr>
        <w:spacing w:after="0" w:line="240" w:lineRule="auto"/>
        <w:jc w:val="both"/>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(1) Службени девизни курс за валуту Босне и Херцеговине је једна конвертибилна марка за 0,511292 евра, односно један евро износи 1,955830 конвертибилних марака.</w:t>
      </w:r>
    </w:p>
    <w:p>
      <w:pPr>
        <w:spacing w:after="0" w:line="240" w:lineRule="auto"/>
        <w:jc w:val="both"/>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 xml:space="preserve">(2) На </w:t>
      </w:r>
      <w:proofErr w:type="spellStart"/>
      <w:r>
        <w:rPr>
          <w:rFonts w:ascii="Times New Roman" w:eastAsia="Times New Roman" w:hAnsi="Times New Roman" w:cs="Times New Roman"/>
          <w:sz w:val="24"/>
          <w:szCs w:val="24"/>
          <w:lang w:val="sr-Cyrl-BA"/>
        </w:rPr>
        <w:t>курсној</w:t>
      </w:r>
      <w:proofErr w:type="spellEnd"/>
      <w:r>
        <w:rPr>
          <w:rFonts w:ascii="Times New Roman" w:eastAsia="Times New Roman" w:hAnsi="Times New Roman" w:cs="Times New Roman"/>
          <w:sz w:val="24"/>
          <w:szCs w:val="24"/>
          <w:lang w:val="sr-Cyrl-BA"/>
        </w:rPr>
        <w:t xml:space="preserve"> листи се као основ за утврђивање односа валута према КМ те утврђивање средњег курса користе посљедњи референтни курсеви Европске централне банке (у даљем тексту: ЕЦБ) које је ЕЦБ објавила на финансијском сервису </w:t>
      </w:r>
      <w:proofErr w:type="spellStart"/>
      <w:r>
        <w:rPr>
          <w:rFonts w:ascii="Times New Roman" w:eastAsia="Times New Roman" w:hAnsi="Times New Roman" w:cs="Times New Roman"/>
          <w:sz w:val="24"/>
          <w:szCs w:val="24"/>
          <w:lang w:val="sr-Cyrl-BA"/>
        </w:rPr>
        <w:t>Refinitiv</w:t>
      </w:r>
      <w:proofErr w:type="spellEnd"/>
      <w:r>
        <w:rPr>
          <w:rFonts w:ascii="Times New Roman" w:eastAsia="Times New Roman" w:hAnsi="Times New Roman" w:cs="Times New Roman"/>
          <w:sz w:val="24"/>
          <w:szCs w:val="24"/>
          <w:lang w:val="sr-Cyrl-BA"/>
        </w:rPr>
        <w:t xml:space="preserve"> око 16.00 часова. </w:t>
      </w:r>
    </w:p>
    <w:p>
      <w:pPr>
        <w:spacing w:after="0" w:line="240" w:lineRule="auto"/>
        <w:jc w:val="both"/>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 xml:space="preserve">(3) За валуте које се не налазе на референтној листи курсева ЕЦБ, користе се посљедњи доступни средњи курсеви које су националне централне банке објавиле према евру на истом финансијском сервису до термина преузимања </w:t>
      </w:r>
      <w:proofErr w:type="spellStart"/>
      <w:r>
        <w:rPr>
          <w:rFonts w:ascii="Times New Roman" w:eastAsia="Times New Roman" w:hAnsi="Times New Roman" w:cs="Times New Roman"/>
          <w:sz w:val="24"/>
          <w:szCs w:val="24"/>
          <w:lang w:val="sr-Cyrl-BA"/>
        </w:rPr>
        <w:t>курсне</w:t>
      </w:r>
      <w:proofErr w:type="spellEnd"/>
      <w:r>
        <w:rPr>
          <w:rFonts w:ascii="Times New Roman" w:eastAsia="Times New Roman" w:hAnsi="Times New Roman" w:cs="Times New Roman"/>
          <w:sz w:val="24"/>
          <w:szCs w:val="24"/>
          <w:lang w:val="sr-Cyrl-BA"/>
        </w:rPr>
        <w:t xml:space="preserve"> листе ЕЦБ-а.</w:t>
      </w:r>
    </w:p>
    <w:p>
      <w:pPr>
        <w:spacing w:after="0" w:line="240" w:lineRule="auto"/>
        <w:jc w:val="both"/>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 xml:space="preserve">(4) Када ЕЦБ и </w:t>
      </w:r>
      <w:proofErr w:type="spellStart"/>
      <w:r>
        <w:rPr>
          <w:rFonts w:ascii="Times New Roman" w:eastAsia="Times New Roman" w:hAnsi="Times New Roman" w:cs="Times New Roman"/>
          <w:sz w:val="24"/>
          <w:szCs w:val="24"/>
          <w:lang w:val="sr-Cyrl-BA"/>
        </w:rPr>
        <w:t>Refinitiv</w:t>
      </w:r>
      <w:proofErr w:type="spellEnd"/>
      <w:r>
        <w:rPr>
          <w:rFonts w:ascii="Times New Roman" w:eastAsia="Times New Roman" w:hAnsi="Times New Roman" w:cs="Times New Roman"/>
          <w:sz w:val="24"/>
          <w:szCs w:val="24"/>
          <w:lang w:val="sr-Cyrl-BA"/>
        </w:rPr>
        <w:t xml:space="preserve"> престане да објављује курсеве дефинисане ставовима (2) и (3) користи се средњи тржишни </w:t>
      </w:r>
      <w:proofErr w:type="spellStart"/>
      <w:r>
        <w:rPr>
          <w:rFonts w:ascii="Times New Roman" w:eastAsia="Times New Roman" w:hAnsi="Times New Roman" w:cs="Times New Roman"/>
          <w:i/>
          <w:sz w:val="24"/>
          <w:szCs w:val="24"/>
          <w:lang w:val="sr-Cyrl-BA"/>
        </w:rPr>
        <w:t>Refinitiv’s</w:t>
      </w:r>
      <w:proofErr w:type="spellEnd"/>
      <w:r>
        <w:rPr>
          <w:rFonts w:ascii="Times New Roman" w:eastAsia="Times New Roman" w:hAnsi="Times New Roman" w:cs="Times New Roman"/>
          <w:i/>
          <w:sz w:val="24"/>
          <w:szCs w:val="24"/>
          <w:lang w:val="sr-Cyrl-BA"/>
        </w:rPr>
        <w:t xml:space="preserve"> FX </w:t>
      </w:r>
      <w:proofErr w:type="spellStart"/>
      <w:r>
        <w:rPr>
          <w:rFonts w:ascii="Times New Roman" w:eastAsia="Times New Roman" w:hAnsi="Times New Roman" w:cs="Times New Roman"/>
          <w:i/>
          <w:sz w:val="24"/>
          <w:szCs w:val="24"/>
          <w:lang w:val="sr-Cyrl-BA"/>
        </w:rPr>
        <w:t>Blended</w:t>
      </w:r>
      <w:proofErr w:type="spellEnd"/>
      <w:r>
        <w:rPr>
          <w:rFonts w:ascii="Times New Roman" w:eastAsia="Times New Roman" w:hAnsi="Times New Roman" w:cs="Times New Roman"/>
          <w:i/>
          <w:sz w:val="24"/>
          <w:szCs w:val="24"/>
          <w:lang w:val="sr-Cyrl-BA"/>
        </w:rPr>
        <w:t xml:space="preserve"> </w:t>
      </w:r>
      <w:proofErr w:type="spellStart"/>
      <w:r>
        <w:rPr>
          <w:rFonts w:ascii="Times New Roman" w:eastAsia="Times New Roman" w:hAnsi="Times New Roman" w:cs="Times New Roman"/>
          <w:i/>
          <w:sz w:val="24"/>
          <w:szCs w:val="24"/>
          <w:lang w:val="sr-Cyrl-BA"/>
        </w:rPr>
        <w:t>Spot</w:t>
      </w:r>
      <w:proofErr w:type="spellEnd"/>
      <w:r>
        <w:rPr>
          <w:rFonts w:ascii="Times New Roman" w:eastAsia="Times New Roman" w:hAnsi="Times New Roman" w:cs="Times New Roman"/>
          <w:i/>
          <w:sz w:val="24"/>
          <w:szCs w:val="24"/>
          <w:lang w:val="sr-Cyrl-BA"/>
        </w:rPr>
        <w:t xml:space="preserve"> </w:t>
      </w:r>
      <w:proofErr w:type="spellStart"/>
      <w:r>
        <w:rPr>
          <w:rFonts w:ascii="Times New Roman" w:eastAsia="Times New Roman" w:hAnsi="Times New Roman" w:cs="Times New Roman"/>
          <w:i/>
          <w:sz w:val="24"/>
          <w:szCs w:val="24"/>
          <w:lang w:val="sr-Cyrl-BA"/>
        </w:rPr>
        <w:t>Composite</w:t>
      </w:r>
      <w:proofErr w:type="spellEnd"/>
      <w:r>
        <w:rPr>
          <w:rFonts w:ascii="Times New Roman" w:eastAsia="Times New Roman" w:hAnsi="Times New Roman" w:cs="Times New Roman"/>
          <w:i/>
          <w:sz w:val="24"/>
          <w:szCs w:val="24"/>
          <w:lang w:val="sr-Cyrl-BA"/>
        </w:rPr>
        <w:t xml:space="preserve"> </w:t>
      </w:r>
      <w:r>
        <w:rPr>
          <w:rFonts w:ascii="Times New Roman" w:eastAsia="Times New Roman" w:hAnsi="Times New Roman" w:cs="Times New Roman"/>
          <w:sz w:val="24"/>
          <w:szCs w:val="24"/>
          <w:lang w:val="sr-Cyrl-BA"/>
        </w:rPr>
        <w:t xml:space="preserve">курс у термину преузимања </w:t>
      </w:r>
      <w:proofErr w:type="spellStart"/>
      <w:r>
        <w:rPr>
          <w:rFonts w:ascii="Times New Roman" w:eastAsia="Times New Roman" w:hAnsi="Times New Roman" w:cs="Times New Roman"/>
          <w:sz w:val="24"/>
          <w:szCs w:val="24"/>
          <w:lang w:val="sr-Cyrl-BA"/>
        </w:rPr>
        <w:t>курсне</w:t>
      </w:r>
      <w:proofErr w:type="spellEnd"/>
      <w:r>
        <w:rPr>
          <w:rFonts w:ascii="Times New Roman" w:eastAsia="Times New Roman" w:hAnsi="Times New Roman" w:cs="Times New Roman"/>
          <w:sz w:val="24"/>
          <w:szCs w:val="24"/>
          <w:lang w:val="sr-Cyrl-BA"/>
        </w:rPr>
        <w:t xml:space="preserve"> листе ЕЦБ-а.</w:t>
      </w:r>
    </w:p>
    <w:p>
      <w:pPr>
        <w:spacing w:after="0" w:line="240" w:lineRule="auto"/>
        <w:jc w:val="both"/>
        <w:rPr>
          <w:lang w:val="sr-Cyrl-BA"/>
        </w:rPr>
      </w:pPr>
      <w:r>
        <w:rPr>
          <w:rFonts w:ascii="Times New Roman" w:eastAsia="Times New Roman" w:hAnsi="Times New Roman" w:cs="Times New Roman"/>
          <w:sz w:val="24"/>
          <w:szCs w:val="24"/>
          <w:lang w:val="sr-Cyrl-BA"/>
        </w:rPr>
        <w:t>(5)</w:t>
      </w:r>
      <w:r>
        <w:rPr>
          <w:rFonts w:ascii="Times New Roman" w:hAnsi="Times New Roman" w:cs="Times New Roman"/>
          <w:b/>
          <w:bCs/>
          <w:sz w:val="24"/>
          <w:szCs w:val="24"/>
          <w:lang w:val="sr-Cyrl-BA"/>
        </w:rPr>
        <w:t xml:space="preserve"> </w:t>
      </w:r>
      <w:r>
        <w:rPr>
          <w:rFonts w:ascii="Times New Roman" w:hAnsi="Times New Roman" w:cs="Times New Roman"/>
          <w:sz w:val="24"/>
          <w:szCs w:val="24"/>
          <w:lang w:val="sr-Cyrl-BA"/>
        </w:rPr>
        <w:t xml:space="preserve">Уколико се однос валуте према КМ утврђује у складу са ставом (4) овог члана, поред такве валуте на </w:t>
      </w:r>
      <w:proofErr w:type="spellStart"/>
      <w:r>
        <w:rPr>
          <w:rFonts w:ascii="Times New Roman" w:hAnsi="Times New Roman" w:cs="Times New Roman"/>
          <w:sz w:val="24"/>
          <w:szCs w:val="24"/>
          <w:lang w:val="sr-Cyrl-BA"/>
        </w:rPr>
        <w:t>курсној</w:t>
      </w:r>
      <w:proofErr w:type="spellEnd"/>
      <w:r>
        <w:rPr>
          <w:rFonts w:ascii="Times New Roman" w:hAnsi="Times New Roman" w:cs="Times New Roman"/>
          <w:sz w:val="24"/>
          <w:szCs w:val="24"/>
          <w:lang w:val="sr-Cyrl-BA"/>
        </w:rPr>
        <w:t xml:space="preserve"> листи се обавезно наводи да се приликом утврђивања курса те валуте користио средњи тржишни </w:t>
      </w:r>
      <w:proofErr w:type="spellStart"/>
      <w:r>
        <w:rPr>
          <w:rFonts w:ascii="Times New Roman" w:hAnsi="Times New Roman" w:cs="Times New Roman"/>
          <w:i/>
          <w:iCs/>
          <w:sz w:val="24"/>
          <w:szCs w:val="24"/>
          <w:lang w:val="sr-Cyrl-BA"/>
        </w:rPr>
        <w:t>Refinitiv’s</w:t>
      </w:r>
      <w:proofErr w:type="spellEnd"/>
      <w:r>
        <w:rPr>
          <w:rFonts w:ascii="Times New Roman" w:hAnsi="Times New Roman" w:cs="Times New Roman"/>
          <w:i/>
          <w:iCs/>
          <w:sz w:val="24"/>
          <w:szCs w:val="24"/>
          <w:lang w:val="sr-Cyrl-BA"/>
        </w:rPr>
        <w:t xml:space="preserve"> FX </w:t>
      </w:r>
      <w:proofErr w:type="spellStart"/>
      <w:r>
        <w:rPr>
          <w:rFonts w:ascii="Times New Roman" w:hAnsi="Times New Roman" w:cs="Times New Roman"/>
          <w:i/>
          <w:iCs/>
          <w:sz w:val="24"/>
          <w:szCs w:val="24"/>
          <w:lang w:val="sr-Cyrl-BA"/>
        </w:rPr>
        <w:t>Blended</w:t>
      </w:r>
      <w:proofErr w:type="spellEnd"/>
      <w:r>
        <w:rPr>
          <w:rFonts w:ascii="Times New Roman" w:hAnsi="Times New Roman" w:cs="Times New Roman"/>
          <w:i/>
          <w:iCs/>
          <w:sz w:val="24"/>
          <w:szCs w:val="24"/>
          <w:lang w:val="sr-Cyrl-BA"/>
        </w:rPr>
        <w:t xml:space="preserve"> </w:t>
      </w:r>
      <w:proofErr w:type="spellStart"/>
      <w:r>
        <w:rPr>
          <w:rFonts w:ascii="Times New Roman" w:hAnsi="Times New Roman" w:cs="Times New Roman"/>
          <w:i/>
          <w:iCs/>
          <w:sz w:val="24"/>
          <w:szCs w:val="24"/>
          <w:lang w:val="sr-Cyrl-BA"/>
        </w:rPr>
        <w:t>Spot</w:t>
      </w:r>
      <w:proofErr w:type="spellEnd"/>
      <w:r>
        <w:rPr>
          <w:rFonts w:ascii="Times New Roman" w:hAnsi="Times New Roman" w:cs="Times New Roman"/>
          <w:i/>
          <w:iCs/>
          <w:sz w:val="24"/>
          <w:szCs w:val="24"/>
          <w:lang w:val="sr-Cyrl-BA"/>
        </w:rPr>
        <w:t xml:space="preserve"> </w:t>
      </w:r>
      <w:proofErr w:type="spellStart"/>
      <w:r>
        <w:rPr>
          <w:rFonts w:ascii="Times New Roman" w:hAnsi="Times New Roman" w:cs="Times New Roman"/>
          <w:i/>
          <w:iCs/>
          <w:sz w:val="24"/>
          <w:szCs w:val="24"/>
          <w:lang w:val="sr-Cyrl-BA"/>
        </w:rPr>
        <w:t>Composite</w:t>
      </w:r>
      <w:proofErr w:type="spellEnd"/>
      <w:r>
        <w:rPr>
          <w:rFonts w:ascii="Times New Roman" w:hAnsi="Times New Roman" w:cs="Times New Roman"/>
          <w:i/>
          <w:iCs/>
          <w:sz w:val="24"/>
          <w:szCs w:val="24"/>
          <w:lang w:val="sr-Cyrl-BA"/>
        </w:rPr>
        <w:t xml:space="preserve"> </w:t>
      </w:r>
      <w:r>
        <w:rPr>
          <w:rFonts w:ascii="Times New Roman" w:hAnsi="Times New Roman" w:cs="Times New Roman"/>
          <w:sz w:val="24"/>
          <w:szCs w:val="24"/>
          <w:lang w:val="sr-Cyrl-BA"/>
        </w:rPr>
        <w:t xml:space="preserve">због недоступности релевантних података курса те валуте према евру на финансијском сервису </w:t>
      </w:r>
      <w:proofErr w:type="spellStart"/>
      <w:r>
        <w:rPr>
          <w:rFonts w:ascii="Times New Roman" w:hAnsi="Times New Roman" w:cs="Times New Roman"/>
          <w:sz w:val="24"/>
          <w:szCs w:val="24"/>
          <w:lang w:val="sr-Cyrl-BA"/>
        </w:rPr>
        <w:t>Refinitiv</w:t>
      </w:r>
      <w:proofErr w:type="spellEnd"/>
      <w:r>
        <w:rPr>
          <w:rFonts w:ascii="Times New Roman" w:eastAsia="Times New Roman" w:hAnsi="Times New Roman" w:cs="Times New Roman"/>
          <w:sz w:val="24"/>
          <w:szCs w:val="24"/>
          <w:lang w:val="sr-Cyrl-BA"/>
        </w:rPr>
        <w:t>.</w:t>
      </w:r>
    </w:p>
    <w:p>
      <w:pPr>
        <w:spacing w:after="0" w:line="240" w:lineRule="auto"/>
        <w:jc w:val="both"/>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 xml:space="preserve">(6) Као основ за утврђивање курса SDR према конвертибилној </w:t>
      </w:r>
      <w:proofErr w:type="spellStart"/>
      <w:r>
        <w:rPr>
          <w:rFonts w:ascii="Times New Roman" w:eastAsia="Times New Roman" w:hAnsi="Times New Roman" w:cs="Times New Roman"/>
          <w:sz w:val="24"/>
          <w:szCs w:val="24"/>
          <w:lang w:val="sr-Cyrl-BA"/>
        </w:rPr>
        <w:t>марци</w:t>
      </w:r>
      <w:proofErr w:type="spellEnd"/>
      <w:r>
        <w:rPr>
          <w:rFonts w:ascii="Times New Roman" w:eastAsia="Times New Roman" w:hAnsi="Times New Roman" w:cs="Times New Roman"/>
          <w:sz w:val="24"/>
          <w:szCs w:val="24"/>
          <w:lang w:val="sr-Cyrl-BA"/>
        </w:rPr>
        <w:t xml:space="preserve"> користи се посљедњи курс SDR у еврима који је Међународни монетарни фонд објавио на финансијском сервису </w:t>
      </w:r>
      <w:proofErr w:type="spellStart"/>
      <w:r>
        <w:rPr>
          <w:rFonts w:ascii="Times New Roman" w:eastAsia="Times New Roman" w:hAnsi="Times New Roman" w:cs="Times New Roman"/>
          <w:sz w:val="24"/>
          <w:szCs w:val="24"/>
          <w:lang w:val="sr-Cyrl-BA"/>
        </w:rPr>
        <w:t>Refinitiv</w:t>
      </w:r>
      <w:proofErr w:type="spellEnd"/>
      <w:r>
        <w:rPr>
          <w:rFonts w:ascii="Times New Roman" w:eastAsia="Times New Roman" w:hAnsi="Times New Roman" w:cs="Times New Roman"/>
          <w:sz w:val="24"/>
          <w:szCs w:val="24"/>
          <w:lang w:val="sr-Cyrl-BA"/>
        </w:rPr>
        <w:t xml:space="preserve"> до термина преузимања </w:t>
      </w:r>
      <w:proofErr w:type="spellStart"/>
      <w:r>
        <w:rPr>
          <w:rFonts w:ascii="Times New Roman" w:eastAsia="Times New Roman" w:hAnsi="Times New Roman" w:cs="Times New Roman"/>
          <w:sz w:val="24"/>
          <w:szCs w:val="24"/>
          <w:lang w:val="sr-Cyrl-BA"/>
        </w:rPr>
        <w:t>курсне</w:t>
      </w:r>
      <w:proofErr w:type="spellEnd"/>
      <w:r>
        <w:rPr>
          <w:rFonts w:ascii="Times New Roman" w:eastAsia="Times New Roman" w:hAnsi="Times New Roman" w:cs="Times New Roman"/>
          <w:sz w:val="24"/>
          <w:szCs w:val="24"/>
          <w:lang w:val="sr-Cyrl-BA"/>
        </w:rPr>
        <w:t xml:space="preserve"> листе ЕЦБ-а.“</w:t>
      </w:r>
    </w:p>
    <w:p>
      <w:pPr>
        <w:spacing w:after="0" w:line="240" w:lineRule="auto"/>
        <w:jc w:val="both"/>
        <w:rPr>
          <w:rFonts w:ascii="Times New Roman" w:eastAsia="Times New Roman" w:hAnsi="Times New Roman" w:cs="Times New Roman"/>
          <w:sz w:val="24"/>
          <w:szCs w:val="24"/>
          <w:lang w:val="sr-Cyrl-BA"/>
        </w:rPr>
      </w:pPr>
    </w:p>
    <w:p>
      <w:pPr>
        <w:spacing w:after="0" w:line="240" w:lineRule="auto"/>
        <w:jc w:val="center"/>
        <w:rPr>
          <w:rFonts w:ascii="Times New Roman" w:eastAsia="Times New Roman" w:hAnsi="Times New Roman" w:cs="Times New Roman"/>
          <w:bCs/>
          <w:sz w:val="24"/>
          <w:szCs w:val="24"/>
          <w:lang w:val="sr-Cyrl-BA"/>
        </w:rPr>
      </w:pPr>
      <w:r>
        <w:rPr>
          <w:rFonts w:ascii="Times New Roman" w:eastAsia="Times New Roman" w:hAnsi="Times New Roman" w:cs="Times New Roman"/>
          <w:sz w:val="24"/>
          <w:szCs w:val="24"/>
          <w:lang w:val="sr-Cyrl-BA"/>
        </w:rPr>
        <w:t>Члан 3.</w:t>
      </w:r>
    </w:p>
    <w:p>
      <w:pPr>
        <w:tabs>
          <w:tab w:val="left" w:pos="9350"/>
        </w:tabs>
        <w:spacing w:after="0" w:line="240" w:lineRule="auto"/>
        <w:ind w:right="-103"/>
        <w:jc w:val="both"/>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Ова одлука ступа на снагу наредног дана од дана објављивања у „Службеном гласнику БиХ“.</w:t>
      </w:r>
    </w:p>
    <w:p>
      <w:pPr>
        <w:tabs>
          <w:tab w:val="left" w:pos="9350"/>
        </w:tabs>
        <w:spacing w:after="0" w:line="240" w:lineRule="auto"/>
        <w:ind w:right="-103"/>
        <w:jc w:val="center"/>
        <w:rPr>
          <w:rFonts w:ascii="Times New Roman" w:eastAsia="Times New Roman" w:hAnsi="Times New Roman" w:cs="Times New Roman"/>
          <w:sz w:val="24"/>
          <w:szCs w:val="24"/>
          <w:lang w:val="sr-Cyrl-BA"/>
        </w:rPr>
      </w:pPr>
    </w:p>
    <w:p>
      <w:pPr>
        <w:tabs>
          <w:tab w:val="left" w:pos="9350"/>
        </w:tabs>
        <w:spacing w:after="0" w:line="240" w:lineRule="auto"/>
        <w:ind w:right="-103"/>
        <w:jc w:val="center"/>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Члан 4.</w:t>
      </w:r>
    </w:p>
    <w:p>
      <w:pPr>
        <w:spacing w:after="0" w:line="240" w:lineRule="auto"/>
        <w:jc w:val="both"/>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Ова одлука ће се објавити у „Службеним новинама Федерације БиХ“, „Службеном гласнику Републике Српске“ и „Службеном гласнику Брчко дистрикта Босне и Херцеговине“.</w:t>
      </w:r>
    </w:p>
    <w:p>
      <w:pPr>
        <w:spacing w:after="0" w:line="240" w:lineRule="auto"/>
        <w:rPr>
          <w:rFonts w:ascii="Times New Roman" w:eastAsia="Times New Roman" w:hAnsi="Times New Roman" w:cs="Times New Roman"/>
          <w:sz w:val="24"/>
          <w:szCs w:val="24"/>
          <w:lang w:val="sr-Cyrl-BA"/>
        </w:rPr>
      </w:pPr>
    </w:p>
    <w:p>
      <w:pPr>
        <w:spacing w:after="0" w:line="240" w:lineRule="auto"/>
        <w:rPr>
          <w:rFonts w:ascii="Times New Roman" w:eastAsia="Times New Roman" w:hAnsi="Times New Roman" w:cs="Times New Roman"/>
          <w:sz w:val="24"/>
          <w:szCs w:val="24"/>
          <w:lang w:val="sr-Cyrl-BA"/>
        </w:rPr>
      </w:pPr>
    </w:p>
    <w:p>
      <w:pPr>
        <w:tabs>
          <w:tab w:val="center" w:pos="7088"/>
        </w:tabs>
        <w:spacing w:after="0" w:line="240" w:lineRule="auto"/>
        <w:rPr>
          <w:rFonts w:ascii="Times New Roman" w:eastAsia="Times New Roman" w:hAnsi="Times New Roman" w:cs="Times New Roman"/>
          <w:bCs/>
          <w:sz w:val="24"/>
          <w:szCs w:val="24"/>
          <w:lang w:val="sr-Cyrl-BA"/>
        </w:rPr>
      </w:pPr>
      <w:r>
        <w:rPr>
          <w:rFonts w:ascii="Times New Roman" w:eastAsia="Times New Roman" w:hAnsi="Times New Roman" w:cs="Times New Roman"/>
          <w:bCs/>
          <w:sz w:val="24"/>
          <w:szCs w:val="24"/>
          <w:lang w:val="sr-Cyrl-BA"/>
        </w:rPr>
        <w:tab/>
        <w:t>Предсједавајући</w:t>
      </w:r>
    </w:p>
    <w:p>
      <w:pPr>
        <w:tabs>
          <w:tab w:val="center" w:pos="7088"/>
        </w:tabs>
        <w:spacing w:after="0" w:line="240" w:lineRule="auto"/>
        <w:rPr>
          <w:rFonts w:ascii="Times New Roman" w:eastAsia="Times New Roman" w:hAnsi="Times New Roman" w:cs="Times New Roman"/>
          <w:bCs/>
          <w:sz w:val="24"/>
          <w:szCs w:val="24"/>
          <w:lang w:val="sr-Cyrl-BA"/>
        </w:rPr>
      </w:pPr>
      <w:r>
        <w:rPr>
          <w:rFonts w:ascii="Times New Roman" w:eastAsia="Times New Roman" w:hAnsi="Times New Roman" w:cs="Times New Roman"/>
          <w:bCs/>
          <w:sz w:val="24"/>
          <w:szCs w:val="24"/>
          <w:lang w:val="sr-Cyrl-BA"/>
        </w:rPr>
        <w:tab/>
        <w:t>Управног одбора Централне банке</w:t>
      </w:r>
    </w:p>
    <w:p>
      <w:pPr>
        <w:tabs>
          <w:tab w:val="center" w:pos="7088"/>
        </w:tabs>
        <w:spacing w:after="0" w:line="240" w:lineRule="auto"/>
        <w:rPr>
          <w:rFonts w:ascii="Times New Roman" w:eastAsia="Times New Roman" w:hAnsi="Times New Roman" w:cs="Times New Roman"/>
          <w:bCs/>
          <w:sz w:val="24"/>
          <w:szCs w:val="24"/>
          <w:lang w:val="sr-Cyrl-BA"/>
        </w:rPr>
      </w:pPr>
      <w:r>
        <w:rPr>
          <w:rFonts w:ascii="Times New Roman" w:eastAsia="Times New Roman" w:hAnsi="Times New Roman" w:cs="Times New Roman"/>
          <w:sz w:val="24"/>
          <w:szCs w:val="24"/>
          <w:lang w:val="sr-Cyrl-BA"/>
        </w:rPr>
        <w:t>Број: УВ-122-01-1-</w:t>
      </w:r>
      <w:r>
        <w:rPr>
          <w:rFonts w:ascii="Times New Roman" w:eastAsia="Times New Roman" w:hAnsi="Times New Roman" w:cs="Times New Roman"/>
          <w:noProof/>
          <w:sz w:val="24"/>
          <w:szCs w:val="24"/>
          <w:lang w:val="sr-Latn-RS"/>
        </w:rPr>
        <w:t>2182-6</w:t>
      </w:r>
      <w:bookmarkStart w:id="0" w:name="_GoBack"/>
      <w:bookmarkEnd w:id="0"/>
      <w:r>
        <w:rPr>
          <w:rFonts w:ascii="Times New Roman" w:eastAsia="Times New Roman" w:hAnsi="Times New Roman" w:cs="Times New Roman"/>
          <w:sz w:val="24"/>
          <w:szCs w:val="24"/>
          <w:lang w:val="sr-Cyrl-BA"/>
        </w:rPr>
        <w:t>/22</w:t>
      </w:r>
      <w:r>
        <w:rPr>
          <w:rFonts w:ascii="Times New Roman" w:eastAsia="Times New Roman" w:hAnsi="Times New Roman" w:cs="Times New Roman"/>
          <w:sz w:val="24"/>
          <w:szCs w:val="24"/>
          <w:lang w:val="sr-Cyrl-BA"/>
        </w:rPr>
        <w:tab/>
      </w:r>
      <w:r>
        <w:rPr>
          <w:rFonts w:ascii="Times New Roman" w:eastAsia="Times New Roman" w:hAnsi="Times New Roman" w:cs="Times New Roman"/>
          <w:bCs/>
          <w:sz w:val="24"/>
          <w:szCs w:val="24"/>
          <w:lang w:val="sr-Cyrl-BA"/>
        </w:rPr>
        <w:t>Босне и Херцеговине</w:t>
      </w:r>
    </w:p>
    <w:p>
      <w:pPr>
        <w:tabs>
          <w:tab w:val="center" w:pos="7088"/>
        </w:tabs>
        <w:spacing w:after="0" w:line="240" w:lineRule="auto"/>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Сарајево, 27.12.2022. године</w:t>
      </w:r>
      <w:r>
        <w:rPr>
          <w:rFonts w:ascii="Times New Roman" w:eastAsia="Times New Roman" w:hAnsi="Times New Roman" w:cs="Times New Roman"/>
          <w:bCs/>
          <w:sz w:val="24"/>
          <w:szCs w:val="24"/>
          <w:lang w:val="sr-Cyrl-BA"/>
        </w:rPr>
        <w:tab/>
      </w:r>
      <w:r>
        <w:rPr>
          <w:rFonts w:ascii="Times New Roman" w:eastAsia="Times New Roman" w:hAnsi="Times New Roman" w:cs="Times New Roman"/>
          <w:sz w:val="24"/>
          <w:szCs w:val="24"/>
          <w:lang w:val="sr-Cyrl-BA"/>
        </w:rPr>
        <w:t>ГУВЕРНЕР</w:t>
      </w:r>
    </w:p>
    <w:p>
      <w:pPr>
        <w:tabs>
          <w:tab w:val="center" w:pos="7088"/>
        </w:tabs>
        <w:spacing w:after="0" w:line="240" w:lineRule="auto"/>
        <w:rPr>
          <w:rFonts w:ascii="Times New Roman" w:eastAsia="Times New Roman" w:hAnsi="Times New Roman" w:cs="Times New Roman"/>
          <w:bCs/>
          <w:sz w:val="24"/>
          <w:szCs w:val="24"/>
          <w:lang w:val="sr-Cyrl-BA"/>
        </w:rPr>
      </w:pPr>
      <w:r>
        <w:rPr>
          <w:rFonts w:ascii="Times New Roman" w:eastAsia="Times New Roman" w:hAnsi="Times New Roman" w:cs="Times New Roman"/>
          <w:sz w:val="24"/>
          <w:szCs w:val="24"/>
          <w:lang w:val="sr-Cyrl-BA"/>
        </w:rPr>
        <w:tab/>
      </w:r>
      <w:r>
        <w:rPr>
          <w:rFonts w:ascii="Times New Roman" w:eastAsia="Times New Roman" w:hAnsi="Times New Roman" w:cs="Times New Roman"/>
          <w:bCs/>
          <w:sz w:val="24"/>
          <w:szCs w:val="24"/>
          <w:lang w:val="sr-Cyrl-BA"/>
        </w:rPr>
        <w:t xml:space="preserve">др </w:t>
      </w:r>
      <w:proofErr w:type="spellStart"/>
      <w:r>
        <w:rPr>
          <w:rFonts w:ascii="Times New Roman" w:eastAsia="Times New Roman" w:hAnsi="Times New Roman" w:cs="Times New Roman"/>
          <w:bCs/>
          <w:sz w:val="24"/>
          <w:szCs w:val="24"/>
          <w:lang w:val="sr-Cyrl-BA"/>
        </w:rPr>
        <w:t>Сенад</w:t>
      </w:r>
      <w:proofErr w:type="spellEnd"/>
      <w:r>
        <w:rPr>
          <w:rFonts w:ascii="Times New Roman" w:eastAsia="Times New Roman" w:hAnsi="Times New Roman" w:cs="Times New Roman"/>
          <w:bCs/>
          <w:sz w:val="24"/>
          <w:szCs w:val="24"/>
          <w:lang w:val="sr-Cyrl-BA"/>
        </w:rPr>
        <w:t xml:space="preserve"> </w:t>
      </w:r>
      <w:proofErr w:type="spellStart"/>
      <w:r>
        <w:rPr>
          <w:rFonts w:ascii="Times New Roman" w:eastAsia="Times New Roman" w:hAnsi="Times New Roman" w:cs="Times New Roman"/>
          <w:bCs/>
          <w:sz w:val="24"/>
          <w:szCs w:val="24"/>
          <w:lang w:val="sr-Cyrl-BA"/>
        </w:rPr>
        <w:t>Софтић</w:t>
      </w:r>
      <w:proofErr w:type="spellEnd"/>
    </w:p>
    <w:sectPr>
      <w:footerReference w:type="default" r:id="rId7"/>
      <w:pgSz w:w="11906" w:h="16838" w:code="9"/>
      <w:pgMar w:top="1134"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1AE"/>
    <w:multiLevelType w:val="hybridMultilevel"/>
    <w:tmpl w:val="4BD0D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70CC7"/>
    <w:multiLevelType w:val="hybridMultilevel"/>
    <w:tmpl w:val="C674C480"/>
    <w:lvl w:ilvl="0" w:tplc="04090011">
      <w:start w:val="1"/>
      <w:numFmt w:val="decimal"/>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2" w15:restartNumberingAfterBreak="0">
    <w:nsid w:val="038E0081"/>
    <w:multiLevelType w:val="hybridMultilevel"/>
    <w:tmpl w:val="F102A242"/>
    <w:lvl w:ilvl="0" w:tplc="58B0C914">
      <w:start w:val="1"/>
      <w:numFmt w:val="lowerLetter"/>
      <w:lvlText w:val="%1)"/>
      <w:lvlJc w:val="left"/>
      <w:pPr>
        <w:ind w:left="719" w:hanging="360"/>
      </w:pPr>
      <w:rPr>
        <w:strike w:val="0"/>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 w15:restartNumberingAfterBreak="0">
    <w:nsid w:val="0B294D57"/>
    <w:multiLevelType w:val="hybridMultilevel"/>
    <w:tmpl w:val="6B6A5694"/>
    <w:lvl w:ilvl="0" w:tplc="04090011">
      <w:start w:val="1"/>
      <w:numFmt w:val="decimal"/>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4" w15:restartNumberingAfterBreak="0">
    <w:nsid w:val="0BAE455E"/>
    <w:multiLevelType w:val="hybridMultilevel"/>
    <w:tmpl w:val="F1F4BF9E"/>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0C0847D5"/>
    <w:multiLevelType w:val="hybridMultilevel"/>
    <w:tmpl w:val="ED08D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C01B4"/>
    <w:multiLevelType w:val="hybridMultilevel"/>
    <w:tmpl w:val="A56A4FBE"/>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0D4D65B3"/>
    <w:multiLevelType w:val="hybridMultilevel"/>
    <w:tmpl w:val="A01AA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46412"/>
    <w:multiLevelType w:val="hybridMultilevel"/>
    <w:tmpl w:val="A5369654"/>
    <w:lvl w:ilvl="0" w:tplc="04090017">
      <w:start w:val="1"/>
      <w:numFmt w:val="lowerLetter"/>
      <w:lvlText w:val="%1)"/>
      <w:lvlJc w:val="left"/>
      <w:pPr>
        <w:ind w:left="720" w:hanging="360"/>
      </w:pPr>
    </w:lvl>
    <w:lvl w:ilvl="1" w:tplc="B76C2B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E4B81"/>
    <w:multiLevelType w:val="hybridMultilevel"/>
    <w:tmpl w:val="C982F782"/>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14664E6C"/>
    <w:multiLevelType w:val="hybridMultilevel"/>
    <w:tmpl w:val="75E655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24817"/>
    <w:multiLevelType w:val="hybridMultilevel"/>
    <w:tmpl w:val="DB445C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10FC7"/>
    <w:multiLevelType w:val="hybridMultilevel"/>
    <w:tmpl w:val="12E438A4"/>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1E6E0EA1"/>
    <w:multiLevelType w:val="hybridMultilevel"/>
    <w:tmpl w:val="8EA6067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208129C5"/>
    <w:multiLevelType w:val="hybridMultilevel"/>
    <w:tmpl w:val="32BA9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752A4"/>
    <w:multiLevelType w:val="hybridMultilevel"/>
    <w:tmpl w:val="5E3699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A331A"/>
    <w:multiLevelType w:val="hybridMultilevel"/>
    <w:tmpl w:val="3DFC7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11FAB"/>
    <w:multiLevelType w:val="hybridMultilevel"/>
    <w:tmpl w:val="1D8CE700"/>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2B7012F3"/>
    <w:multiLevelType w:val="hybridMultilevel"/>
    <w:tmpl w:val="8D2A1244"/>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66FED"/>
    <w:multiLevelType w:val="hybridMultilevel"/>
    <w:tmpl w:val="805CF16E"/>
    <w:lvl w:ilvl="0" w:tplc="141A0017">
      <w:start w:val="12"/>
      <w:numFmt w:val="lowerLetter"/>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376305C4"/>
    <w:multiLevelType w:val="hybridMultilevel"/>
    <w:tmpl w:val="D728A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E777D"/>
    <w:multiLevelType w:val="hybridMultilevel"/>
    <w:tmpl w:val="91A05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26657"/>
    <w:multiLevelType w:val="hybridMultilevel"/>
    <w:tmpl w:val="D4682B2E"/>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39B76E7C"/>
    <w:multiLevelType w:val="hybridMultilevel"/>
    <w:tmpl w:val="E84A0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D24F12"/>
    <w:multiLevelType w:val="hybridMultilevel"/>
    <w:tmpl w:val="781081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352CC8"/>
    <w:multiLevelType w:val="hybridMultilevel"/>
    <w:tmpl w:val="4AF28F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C15B2"/>
    <w:multiLevelType w:val="hybridMultilevel"/>
    <w:tmpl w:val="135AC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A637E0"/>
    <w:multiLevelType w:val="hybridMultilevel"/>
    <w:tmpl w:val="8614525C"/>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3EAD3961"/>
    <w:multiLevelType w:val="hybridMultilevel"/>
    <w:tmpl w:val="4920E544"/>
    <w:lvl w:ilvl="0" w:tplc="6052B8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227AF1"/>
    <w:multiLevelType w:val="hybridMultilevel"/>
    <w:tmpl w:val="7578E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91E99"/>
    <w:multiLevelType w:val="hybridMultilevel"/>
    <w:tmpl w:val="25B4DD86"/>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15:restartNumberingAfterBreak="0">
    <w:nsid w:val="49E526F5"/>
    <w:multiLevelType w:val="hybridMultilevel"/>
    <w:tmpl w:val="8DE05CAC"/>
    <w:lvl w:ilvl="0" w:tplc="15023EEC">
      <w:start w:val="1"/>
      <w:numFmt w:val="lowerLetter"/>
      <w:lvlText w:val="%1)"/>
      <w:lvlJc w:val="left"/>
      <w:pPr>
        <w:ind w:left="1440" w:hanging="72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32" w15:restartNumberingAfterBreak="0">
    <w:nsid w:val="4CC145E2"/>
    <w:multiLevelType w:val="hybridMultilevel"/>
    <w:tmpl w:val="46E4FB4E"/>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51B423F2"/>
    <w:multiLevelType w:val="hybridMultilevel"/>
    <w:tmpl w:val="4642E2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C503F4"/>
    <w:multiLevelType w:val="hybridMultilevel"/>
    <w:tmpl w:val="D42C4F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1146B"/>
    <w:multiLevelType w:val="hybridMultilevel"/>
    <w:tmpl w:val="EB3AA09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15:restartNumberingAfterBreak="0">
    <w:nsid w:val="65523DB3"/>
    <w:multiLevelType w:val="hybridMultilevel"/>
    <w:tmpl w:val="73502A2E"/>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15:restartNumberingAfterBreak="0">
    <w:nsid w:val="6A3B2E0F"/>
    <w:multiLevelType w:val="hybridMultilevel"/>
    <w:tmpl w:val="407C2E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952176"/>
    <w:multiLevelType w:val="hybridMultilevel"/>
    <w:tmpl w:val="F5B0257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15:restartNumberingAfterBreak="0">
    <w:nsid w:val="6CF95418"/>
    <w:multiLevelType w:val="hybridMultilevel"/>
    <w:tmpl w:val="D2C68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9F22D7"/>
    <w:multiLevelType w:val="hybridMultilevel"/>
    <w:tmpl w:val="7D908A8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1" w15:restartNumberingAfterBreak="0">
    <w:nsid w:val="7B7F7BFF"/>
    <w:multiLevelType w:val="hybridMultilevel"/>
    <w:tmpl w:val="633E9AC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15:restartNumberingAfterBreak="0">
    <w:nsid w:val="7B995F9B"/>
    <w:multiLevelType w:val="hybridMultilevel"/>
    <w:tmpl w:val="3A5C682A"/>
    <w:lvl w:ilvl="0" w:tplc="15023EEC">
      <w:start w:val="1"/>
      <w:numFmt w:val="lowerLetter"/>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3" w15:restartNumberingAfterBreak="0">
    <w:nsid w:val="7C0F1E62"/>
    <w:multiLevelType w:val="hybridMultilevel"/>
    <w:tmpl w:val="7FDCC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8"/>
  </w:num>
  <w:num w:numId="3">
    <w:abstractNumId w:val="16"/>
  </w:num>
  <w:num w:numId="4">
    <w:abstractNumId w:val="5"/>
  </w:num>
  <w:num w:numId="5">
    <w:abstractNumId w:val="39"/>
  </w:num>
  <w:num w:numId="6">
    <w:abstractNumId w:val="37"/>
  </w:num>
  <w:num w:numId="7">
    <w:abstractNumId w:val="2"/>
  </w:num>
  <w:num w:numId="8">
    <w:abstractNumId w:val="33"/>
  </w:num>
  <w:num w:numId="9">
    <w:abstractNumId w:val="34"/>
  </w:num>
  <w:num w:numId="10">
    <w:abstractNumId w:val="29"/>
  </w:num>
  <w:num w:numId="11">
    <w:abstractNumId w:val="8"/>
  </w:num>
  <w:num w:numId="12">
    <w:abstractNumId w:val="43"/>
  </w:num>
  <w:num w:numId="13">
    <w:abstractNumId w:val="26"/>
  </w:num>
  <w:num w:numId="14">
    <w:abstractNumId w:val="11"/>
  </w:num>
  <w:num w:numId="15">
    <w:abstractNumId w:val="23"/>
  </w:num>
  <w:num w:numId="16">
    <w:abstractNumId w:val="25"/>
  </w:num>
  <w:num w:numId="17">
    <w:abstractNumId w:val="0"/>
  </w:num>
  <w:num w:numId="18">
    <w:abstractNumId w:val="15"/>
  </w:num>
  <w:num w:numId="19">
    <w:abstractNumId w:val="21"/>
  </w:num>
  <w:num w:numId="20">
    <w:abstractNumId w:val="24"/>
  </w:num>
  <w:num w:numId="21">
    <w:abstractNumId w:val="14"/>
  </w:num>
  <w:num w:numId="22">
    <w:abstractNumId w:val="20"/>
  </w:num>
  <w:num w:numId="23">
    <w:abstractNumId w:val="10"/>
  </w:num>
  <w:num w:numId="24">
    <w:abstractNumId w:val="7"/>
  </w:num>
  <w:num w:numId="25">
    <w:abstractNumId w:val="19"/>
  </w:num>
  <w:num w:numId="26">
    <w:abstractNumId w:val="32"/>
  </w:num>
  <w:num w:numId="27">
    <w:abstractNumId w:val="12"/>
  </w:num>
  <w:num w:numId="28">
    <w:abstractNumId w:val="36"/>
  </w:num>
  <w:num w:numId="29">
    <w:abstractNumId w:val="27"/>
  </w:num>
  <w:num w:numId="30">
    <w:abstractNumId w:val="6"/>
  </w:num>
  <w:num w:numId="31">
    <w:abstractNumId w:val="3"/>
  </w:num>
  <w:num w:numId="32">
    <w:abstractNumId w:val="1"/>
  </w:num>
  <w:num w:numId="33">
    <w:abstractNumId w:val="9"/>
  </w:num>
  <w:num w:numId="34">
    <w:abstractNumId w:val="41"/>
  </w:num>
  <w:num w:numId="35">
    <w:abstractNumId w:val="4"/>
  </w:num>
  <w:num w:numId="36">
    <w:abstractNumId w:val="17"/>
  </w:num>
  <w:num w:numId="37">
    <w:abstractNumId w:val="22"/>
  </w:num>
  <w:num w:numId="38">
    <w:abstractNumId w:val="35"/>
  </w:num>
  <w:num w:numId="39">
    <w:abstractNumId w:val="42"/>
  </w:num>
  <w:num w:numId="40">
    <w:abstractNumId w:val="31"/>
  </w:num>
  <w:num w:numId="41">
    <w:abstractNumId w:val="30"/>
  </w:num>
  <w:num w:numId="42">
    <w:abstractNumId w:val="40"/>
  </w:num>
  <w:num w:numId="43">
    <w:abstractNumId w:val="13"/>
  </w:num>
  <w:num w:numId="44">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A1FB6-C6D9-4306-B537-F2FDE2B9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BA"/>
    </w:rPr>
  </w:style>
  <w:style w:type="paragraph" w:styleId="Heading3">
    <w:name w:val="heading 3"/>
    <w:basedOn w:val="Normal"/>
    <w:next w:val="Normal"/>
    <w:link w:val="Heading3Char"/>
    <w:qFormat/>
    <w:pPr>
      <w:keepNext/>
      <w:spacing w:after="0" w:line="240" w:lineRule="auto"/>
      <w:outlineLvl w:val="2"/>
    </w:pPr>
    <w:rPr>
      <w:rFonts w:ascii="Times New Roman" w:eastAsia="Times New Roman" w:hAnsi="Times New Roman" w:cs="Times New Roman"/>
      <w:b/>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Times New Roman" w:eastAsia="Times New Roman" w:hAnsi="Times New Roman" w:cs="Times New Roman"/>
      <w:b/>
      <w:sz w:val="24"/>
      <w:szCs w:val="24"/>
      <w:lang w:val="hr-HR"/>
    </w:rPr>
  </w:style>
  <w:style w:type="paragraph" w:styleId="NoSpacing">
    <w:name w:val="No Spacing"/>
    <w:uiPriority w:val="1"/>
    <w:qFormat/>
    <w:pPr>
      <w:spacing w:after="0" w:line="240" w:lineRule="auto"/>
    </w:pPr>
    <w:rPr>
      <w:rFonts w:ascii="Calibri" w:eastAsia="Calibri" w:hAnsi="Calibri" w:cs="Times New Roman"/>
      <w:lang w:val="sr-Latn-BA"/>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Pr>
      <w:rFonts w:ascii="Times New Roman" w:eastAsia="Times New Roman" w:hAnsi="Times New Roman" w:cs="Times New Roman"/>
      <w:b/>
      <w:sz w:val="28"/>
      <w:szCs w:val="20"/>
    </w:rPr>
  </w:style>
  <w:style w:type="paragraph" w:styleId="ListParagraph">
    <w:name w:val="List Paragraph"/>
    <w:basedOn w:val="Normal"/>
    <w:uiPriority w:val="34"/>
    <w:qFormat/>
    <w:pPr>
      <w:ind w:left="720"/>
      <w:contextualSpacing/>
    </w:pPr>
    <w:rPr>
      <w:lang w:val="bs-Latn-BA"/>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r-Latn-BA"/>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sr-Latn-BA"/>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sr-Latn-BA"/>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rPr>
  </w:style>
  <w:style w:type="character" w:styleId="FootnoteReference">
    <w:name w:val="footnote reference"/>
    <w:uiPriority w:val="99"/>
    <w:rPr>
      <w:vertAlign w:val="superscript"/>
    </w:rPr>
  </w:style>
  <w:style w:type="table" w:styleId="TableGrid">
    <w:name w:val="Table Grid"/>
    <w:basedOn w:val="TableNormal"/>
    <w:uiPriority w:val="39"/>
    <w:pPr>
      <w:spacing w:after="0" w:line="240" w:lineRule="auto"/>
    </w:pPr>
    <w:rPr>
      <w:rFonts w:ascii="Calibri" w:eastAsia="Calibri" w:hAnsi="Calibri" w:cs="Times New Roman"/>
      <w:sz w:val="20"/>
      <w:szCs w:val="20"/>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460">
      <w:bodyDiv w:val="1"/>
      <w:marLeft w:val="0"/>
      <w:marRight w:val="0"/>
      <w:marTop w:val="0"/>
      <w:marBottom w:val="0"/>
      <w:divBdr>
        <w:top w:val="none" w:sz="0" w:space="0" w:color="auto"/>
        <w:left w:val="none" w:sz="0" w:space="0" w:color="auto"/>
        <w:bottom w:val="none" w:sz="0" w:space="0" w:color="auto"/>
        <w:right w:val="none" w:sz="0" w:space="0" w:color="auto"/>
      </w:divBdr>
    </w:div>
    <w:div w:id="541788246">
      <w:bodyDiv w:val="1"/>
      <w:marLeft w:val="0"/>
      <w:marRight w:val="0"/>
      <w:marTop w:val="0"/>
      <w:marBottom w:val="0"/>
      <w:divBdr>
        <w:top w:val="none" w:sz="0" w:space="0" w:color="auto"/>
        <w:left w:val="none" w:sz="0" w:space="0" w:color="auto"/>
        <w:bottom w:val="none" w:sz="0" w:space="0" w:color="auto"/>
        <w:right w:val="none" w:sz="0" w:space="0" w:color="auto"/>
      </w:divBdr>
    </w:div>
    <w:div w:id="720980339">
      <w:bodyDiv w:val="1"/>
      <w:marLeft w:val="0"/>
      <w:marRight w:val="0"/>
      <w:marTop w:val="0"/>
      <w:marBottom w:val="0"/>
      <w:divBdr>
        <w:top w:val="none" w:sz="0" w:space="0" w:color="auto"/>
        <w:left w:val="none" w:sz="0" w:space="0" w:color="auto"/>
        <w:bottom w:val="none" w:sz="0" w:space="0" w:color="auto"/>
        <w:right w:val="none" w:sz="0" w:space="0" w:color="auto"/>
      </w:divBdr>
    </w:div>
    <w:div w:id="1019544341">
      <w:bodyDiv w:val="1"/>
      <w:marLeft w:val="0"/>
      <w:marRight w:val="0"/>
      <w:marTop w:val="0"/>
      <w:marBottom w:val="0"/>
      <w:divBdr>
        <w:top w:val="none" w:sz="0" w:space="0" w:color="auto"/>
        <w:left w:val="none" w:sz="0" w:space="0" w:color="auto"/>
        <w:bottom w:val="none" w:sz="0" w:space="0" w:color="auto"/>
        <w:right w:val="none" w:sz="0" w:space="0" w:color="auto"/>
      </w:divBdr>
    </w:div>
    <w:div w:id="1266959141">
      <w:bodyDiv w:val="1"/>
      <w:marLeft w:val="0"/>
      <w:marRight w:val="0"/>
      <w:marTop w:val="0"/>
      <w:marBottom w:val="0"/>
      <w:divBdr>
        <w:top w:val="none" w:sz="0" w:space="0" w:color="auto"/>
        <w:left w:val="none" w:sz="0" w:space="0" w:color="auto"/>
        <w:bottom w:val="none" w:sz="0" w:space="0" w:color="auto"/>
        <w:right w:val="none" w:sz="0" w:space="0" w:color="auto"/>
      </w:divBdr>
    </w:div>
    <w:div w:id="1396510626">
      <w:bodyDiv w:val="1"/>
      <w:marLeft w:val="0"/>
      <w:marRight w:val="0"/>
      <w:marTop w:val="0"/>
      <w:marBottom w:val="0"/>
      <w:divBdr>
        <w:top w:val="none" w:sz="0" w:space="0" w:color="auto"/>
        <w:left w:val="none" w:sz="0" w:space="0" w:color="auto"/>
        <w:bottom w:val="none" w:sz="0" w:space="0" w:color="auto"/>
        <w:right w:val="none" w:sz="0" w:space="0" w:color="auto"/>
      </w:divBdr>
    </w:div>
    <w:div w:id="17442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Nedjo Gutalj</dc:creator>
  <cp:keywords/>
  <dc:description/>
  <cp:lastModifiedBy>Damir Soco</cp:lastModifiedBy>
  <cp:revision>9</cp:revision>
  <cp:lastPrinted>2022-11-17T15:51:00Z</cp:lastPrinted>
  <dcterms:created xsi:type="dcterms:W3CDTF">2022-12-26T08:15:00Z</dcterms:created>
  <dcterms:modified xsi:type="dcterms:W3CDTF">2023-01-11T07:49:00Z</dcterms:modified>
</cp:coreProperties>
</file>