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temelj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>u članka 2. stavak (3) točka i), članka 7. stavak (1) točka b)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te članaka 59. i 70. Zakona o Centralnoj banci Bosne i Hercegovine (“Službeni glasnik BiH”, 1/97, 29/02, 13/03, 14/03, 9/05, 76/06 i 32/07) i članka 6. stavak (1) točka a) i d) Zakona o zaštiti osobnih podataka (“Službeni glasnik BiH”, 49/06, 76/11 i 89/11), Upravno vijeće Centralne banke Bosne i Hercegovine na 15. sjednici održanoj 26. studenoga 2021. godine, donosi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Odluku 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o izmjenama i dopunama Odluke o Središnjem registru kredita poslovnih subjekata i fizičkih osoba u Bosni i Hercegovini</w:t>
      </w:r>
    </w:p>
    <w:p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</w:pPr>
    </w:p>
    <w:p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</w:pPr>
    </w:p>
    <w:p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  <w:t>Članak 1.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U Odluci o Središnjem registru kredita poslovnih subjekata i fizičkih osoba u Bosni i Hercegovini (“Službeni glasnik BiH”, 44/19), u članku 4.,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točki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37. iza riječi banke, interpunkcijski znak točka se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zamijenjuje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interpunkcijskim znakom zarez, a iza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točke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37. dodaje se nova točka 38. koja glasi: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ˮ38.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Broj dana kašnjenja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– upisuje se broj dana kašnjenja izračunan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propisima nadležne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entitetske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agencije za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bankarstvo.ˮ</w:t>
      </w:r>
      <w:proofErr w:type="spellEnd"/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  <w:t>Članak 2.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U članku 5.,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točki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35. iza riječi banke interpunkcijski znak točka se zamjenjuje interpunkcijskim znakom zarez, a iza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točke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35. dodaje se nova točka 36. koja glasi: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ˮ36.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Broj dana kašnjenja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– upisuje se broj dana kašnjenja izračunan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propisima nadležne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entitetske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agencije za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bankarstvo.ˮ</w:t>
      </w:r>
      <w:proofErr w:type="spellEnd"/>
    </w:p>
    <w:p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</w:pPr>
    </w:p>
    <w:p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  <w:t>Članak 3.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(1) U članku 7.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iza stavka (4) dodaju se nove stavke (5), (6) i (7) koje glase: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 xml:space="preserve">ˮ(5) Na pisani zahtjev sudionika u registru ili u slučaju neaktivnosti sudionika, Centralna banka će u Središnjem registru kredita izvršiti odgovarajuće promjene, kako bi aktivna zaduženja koja je taj sudionik u registru dostavio u Središnji registar kredita, promijenila status aktivnosti i bila zatvorena. Razlog zatvaranja će u ovom slučaju biti pokazatelj 5 – neaktivan sudionik u registru iz članka 4. točka 33. i članka 5. točka 31. ove odluke. Ostale informacije o zaduženju će biti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nepromijenjene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.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(6) Centralna banka će sudioniku u registru uskratiti pravo pristupa podacima iz Središnjega registra kredita nakon prijema pismenog zahtjeva sudionika ili nakon utvrđivanja neaktivnosti sudionika.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 xml:space="preserve">(7) Pod pojmom neaktivan sudionik se podrazumijeva sudionik koji nije ažurirao podatke u registru na način utvrđen u članku 6. stavak (1) odluke, u razdoblju od najmanje 12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mjeseci.ˮ</w:t>
      </w:r>
      <w:proofErr w:type="spellEnd"/>
    </w:p>
    <w:p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Članak 4.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(1)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val="sr-Latn-BA"/>
        </w:rPr>
        <w:t>U članku 9. stavak (1) točka b) mijenja se i glasi: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ˮb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>) sudionici u registru iz članka 3. točka c) ove odluke</w:t>
      </w:r>
      <w:r>
        <w:rPr>
          <w:rFonts w:ascii="Times New Roman" w:hAnsi="Times New Roman" w:cs="Times New Roman"/>
          <w:sz w:val="24"/>
          <w:szCs w:val="24"/>
          <w:lang w:val="sr-Cyrl-BA"/>
        </w:rPr>
        <w:t>,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osim subjekata koji nisu pod nadležnošću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entitetskih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agencija za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bankarstvo,ˮ</w:t>
      </w:r>
      <w:proofErr w:type="spellEnd"/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(2) U stavku (1) u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točki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c) iza riječi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ˮpravobranilaštva,ˮ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dodaju se riječi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ˮnotari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u svojstvu povjerenika suda u svrhu provođenja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ostavinskih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postupaka,ˮ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(3) U stavku (2) riječ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ˮisključivoˮ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briše se.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lastRenderedPageBreak/>
        <w:t>(4) U stavku (3) iza riječi</w:t>
      </w:r>
      <w:r>
        <w:t xml:space="preserve"> </w:t>
      </w:r>
      <w:r>
        <w:rPr>
          <w:rFonts w:cstheme="minorHAnsi"/>
        </w:rPr>
        <w:t>ˮ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Sudionici u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registruˮ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dodaju se riječi: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ˮiz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stavka (1) točka b) ovog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članka,ˮ</w:t>
      </w:r>
      <w:proofErr w:type="spellEnd"/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(5) Stavak (4) mijenja se i glasi: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 xml:space="preserve">ˮ(4) Pisana suglasnost poslovnog subjekta mora biti svojeručno potpisana od ovlaštene osobe i ovjerena pečatom tog poslovnog subjekta ili potpisana elektronskim potpisom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sukladno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 xml:space="preserve"> propisu kojim je uređena oblast elektronskog potpisa u BiH, dok pisana suglasnost fizičke osobe mora biti svojeručno potpisana od strane te fizičke osobe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i mora sadržavati broj njezinog identifikacijskog dokumenta i naziv organa koji ga je izdao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 xml:space="preserve">ili potpisana elektronskim potpisom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sukladno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 xml:space="preserve"> propisu kojim je uređena oblast elektronskog potpisa u BiH</w:t>
      </w:r>
      <w:r>
        <w:t>.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</w:pP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</w:pPr>
    </w:p>
    <w:p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  <w:t>Članak 5.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U članku 10 stavak (5) se mijenja i glasi: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ˮ(5) Pisani zahtjev poslovnog subjekta mora biti svojeručno potpisan od ovlaštene osobe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i ovjeren pečatom tog poslovnog subjekta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 xml:space="preserve">ili potpisan elektronskim potpisom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sukladno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 xml:space="preserve"> propisu kojim je uređena oblast elektronskog potpisa u BiH, dok pisani zahtjev fizičke osobe mora biti svojeručno potpisan od strane te fizičke osobe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i mora sadržavati broj njezinog identifikacijskog dokumenta i naziv organa koji ga je izdao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 xml:space="preserve">ili potpisan elektronskim potpisom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sukladno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 xml:space="preserve"> propisu kojim je uređena oblast elektronskog potpisa 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BiH.ˮ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 xml:space="preserve"> 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Članak 6.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Članak 15. mijenja se i glasi: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sr-Latn-BA"/>
        </w:rPr>
        <w:t>ˮČlanak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15.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(1) Centralna banka će na osnovi pisanog zahtjeva nositelja osobnih podataka čiji se osobni podaci prikupljaju i dostavljaju u Središnji registar kredita, pristupiti podacima u Središnjem registru kredita i dostaviti podnositelju zahtjeva, obavještenje o obradi njegovih osobnih podataka,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propisu kojim je uređena oblast zaštite osobnih podataka u BiH.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(2) Nositelj osobnih podataka čiji se osobni podaci prikupljaju i dostavljaju u Središnji registar kredita, pisani zahtjev iz stavka (1) ovog članka, može predati osobno na protokol Centralne banke ili dostaviti poštom na adresu Centralne banke.</w:t>
      </w:r>
      <w:r>
        <w:rPr>
          <w:rFonts w:ascii="Times New Roman" w:hAnsi="Times New Roman" w:cs="Times New Roman"/>
          <w:sz w:val="24"/>
          <w:szCs w:val="24"/>
          <w:lang w:val="sr-Cyrl-BA"/>
        </w:rPr>
        <w:t>ˮ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Članak 7.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(1) Ova odluka stupa na snagu osmog dana od dana njenog objavljivanja u “Službenom glasniku BiH“, 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primjenjivat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će se od 17.01.2022.godine.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(2) Ova odluka će se objaviti i u “Službenim novinama Federacije BiH”, “Službenom glasniku Republike Srpske” i “Službenom glasniku Brčko distrikta BiH”.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                          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Broj: UV-122-01-1-2221-10/21 NG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Predsjedatelj</w:t>
      </w:r>
      <w:proofErr w:type="spellEnd"/>
    </w:p>
    <w:p>
      <w:pPr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Sarajevo, </w:t>
      </w:r>
      <w:r>
        <w:rPr>
          <w:rFonts w:ascii="Times New Roman" w:hAnsi="Times New Roman" w:cs="Times New Roman"/>
          <w:sz w:val="24"/>
          <w:szCs w:val="24"/>
          <w:lang w:val="sr-Latn-BA"/>
        </w:rPr>
        <w:t>26.11.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BA"/>
        </w:rPr>
        <w:t>2021. godine                                                     Upravnog vijeća Centralne banke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                            Bosne i Hercegovine 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                                GUVERNER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                                                                                        dr. Senad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Softić</w:t>
      </w:r>
      <w:proofErr w:type="spellEnd"/>
    </w:p>
    <w:sectPr>
      <w:footerReference w:type="default" r:id="rId8"/>
      <w:pgSz w:w="12240" w:h="15840"/>
      <w:pgMar w:top="1134" w:right="1247" w:bottom="124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>
      <w:rPr>
        <w:caps/>
      </w:rPr>
      <w:fldChar w:fldCharType="begin"/>
    </w:r>
    <w:r>
      <w:rPr>
        <w:caps/>
      </w:rPr>
      <w:instrText xml:space="preserve"> PAGE   \* MERGEFORMAT </w:instrText>
    </w:r>
    <w:r>
      <w:rPr>
        <w:caps/>
      </w:rPr>
      <w:fldChar w:fldCharType="separate"/>
    </w:r>
    <w:r>
      <w:rPr>
        <w:caps/>
        <w:noProof/>
      </w:rPr>
      <w:t>2</w:t>
    </w:r>
    <w:r>
      <w:rPr>
        <w:caps/>
        <w:noProof/>
      </w:rPr>
      <w:fldChar w:fldCharType="end"/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33188"/>
    <w:multiLevelType w:val="hybridMultilevel"/>
    <w:tmpl w:val="3A843668"/>
    <w:lvl w:ilvl="0" w:tplc="B2A02BF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A8499-2ED3-4F9A-835E-8426612B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734A6-5F8E-4C22-9839-D83085C3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Nedjo Gutalj</dc:creator>
  <cp:keywords/>
  <dc:description/>
  <cp:lastModifiedBy>Damir Soco</cp:lastModifiedBy>
  <cp:revision>4</cp:revision>
  <cp:lastPrinted>2021-10-12T13:13:00Z</cp:lastPrinted>
  <dcterms:created xsi:type="dcterms:W3CDTF">2021-12-07T08:10:00Z</dcterms:created>
  <dcterms:modified xsi:type="dcterms:W3CDTF">2021-12-10T10:33:00Z</dcterms:modified>
</cp:coreProperties>
</file>