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На основу члана 2. став (3) тачка и), члана 7. став (1) тачка б)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те чланова 59. и 70. Закона о Централној банци Босне и Херцеговине (“Службени гласник БиХ”, 1/97, 29/02, 13/03, 14/03, 9/05, 76/06 и 32/07) и члана 6. став (1) тачка а) и д) Закона о заштити личних података (“Службени гласник БиХ”, 49/06, 76/11 и 89/11), Управн</w:t>
      </w:r>
      <w:r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Централне банке Босне и Херцеговине на 15. сједници одржаној 26. новембра 2021. године, доноси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Одлуку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о измјенама и допунама Одлуке о Централном регистру кредита пословних субјеката и физичких лица у Босни и Херцеговини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Члан 1.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У Одлуци о Централном регистру кредита пословних субјеката и физичких лица у Босни и Херцеговини (“Службени гласник БиХ”, 44/19), у члану 4., тачки 37. иза ријечи банке, интерпункцијски знак тачка се замијењује интерпункцијским знаком за</w:t>
      </w:r>
      <w:r>
        <w:rPr>
          <w:rFonts w:ascii="Times New Roman" w:hAnsi="Times New Roman" w:cs="Times New Roman"/>
          <w:sz w:val="24"/>
          <w:szCs w:val="24"/>
          <w:lang w:val="sr-Cyrl-BA"/>
        </w:rPr>
        <w:t>пета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а иза тачке 37. додаје се нова тачка 38. која гласи: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ˮ38.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Број дана кашњења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уписује се број дана кашњења израчунат у складу са прописима надлежне ентитетске агенције за банкарство.ˮ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Члан 2.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У члану 5., тачки 35. иза ријечи банке интерпункцијски знак тачка се замјењује интерпункцијским знаком за</w:t>
      </w:r>
      <w:r>
        <w:rPr>
          <w:rFonts w:ascii="Times New Roman" w:hAnsi="Times New Roman" w:cs="Times New Roman"/>
          <w:sz w:val="24"/>
          <w:szCs w:val="24"/>
          <w:lang w:val="sr-Cyrl-BA"/>
        </w:rPr>
        <w:t>пета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а иза тачке 35. додаје се нова тачка 36. која гласи: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ˮ36.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Број дана кашњења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уписује се број дана кашњења израчунат у складу са прописима надлежне ентитетске агенције за банкарство.ˮ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Члан 3.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(1) У члану 7.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иза става (4) додају се нови ставови (5), (6) и (7) који гласе: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ˮ(5) На писани захтјев учесника у регистру или у случају неактивности учесника, Централна банка ће у Централном регистру кредита извршити одговарајуће промјене, како би активна задужења која је тај учесник у регистру доставио у Централни регистар кредита, промијенила статус активности и била затворена. Разлог затварања ће у овом случају бити индикатор 5 – неактиван учесник у регистру из члана 4. тачка 33. и члана 5. тачка 31. ове одлуке. Остале информације о задужењу ће бити непромијењене.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(6) Централна банка ће учеснику у регистру ускратити право приступа подацима из Централног регистра кредита након пријема писменог захтјева учесника или након утврђивања неактивности учесника.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(7) Под појмом неактиван учесник се подразумијева учесник који није ажурирао податке у регистру на начин утврђен у члану 6. став (1) одлуке, у периоду од најмање 12 мјесеци.ˮ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Члан 4.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 члану 9. став (1) тачка б) мијења се и гласи: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ˮб) учесници у регистру из члана 3. тачка ц) ове одлуке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осим субјеката који нису под надлежношћу ентитетских агенција за банкарство,ˮ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У ставу (1) у тачки ц) иза ријечи ˮправобранилаштва,ˮ додају се ријечи ˮнотари у својству повјереника суда у сврху провођења оставинских поступака,ˮ.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(3) У ставу (2) ријеч ˮискључивоˮ брише се.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(4) У ставу (3) иза ријечи</w:t>
      </w:r>
      <w:r>
        <w:t xml:space="preserve"> </w:t>
      </w:r>
      <w:r>
        <w:rPr>
          <w:rFonts w:cstheme="minorHAnsi"/>
        </w:rPr>
        <w:t>ˮ</w:t>
      </w:r>
      <w:r>
        <w:rPr>
          <w:rFonts w:ascii="Times New Roman" w:hAnsi="Times New Roman" w:cs="Times New Roman"/>
          <w:sz w:val="24"/>
          <w:szCs w:val="24"/>
          <w:lang w:val="sr-Latn-BA"/>
        </w:rPr>
        <w:t>Учесници у региструˮ додају се ријечи: ˮиз става (1) тачка б) овог члана,ˮ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(5) Став (4) мијења се и гласи: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ˮ(4) Писана сагласност пословног субјекта мора бити својеручно потписана од овлаштеног лица и овјерена печатом тог пословног субјекта или потписана електронским потписом у складу са прописом којим је уређена област електронског потписа у БиХ, док писана сагласност физичког лица мора бити својеручно потписана од стране тог физичког лица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 мора садржавати број његовог идентификационог документа и назив органа који га је издао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или потписана електронским потписом у складу са прописом којим је уређена област електронског потписа у БиХ</w:t>
      </w:r>
      <w: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Члан 5.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У члану 10 став (5) се мијења и гласи: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ˮ(5) Писани захтјев пословног субјекта мора бити својеручно потписан од овлаштеног лица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 овјерен печатом тог пословног субјекта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или потписан електронским потписом у складу са прописом којим је уређена област електронског потписа у БиХ, док писани захтјев физичког лица мора бити својеручно потписан од стране тог физичког лица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и мора садржавати број његовог идентификационог документа и назив органа који га је издао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или потписан електронским потписом у складу са прописом којим је уређена област електронског потписа у БиХ.ˮ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Члан 6.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Члан 15. мијења се и гласи: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ˮЧлан 15.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Централна банка ће на основу писаног захтјева носиоца личних података чији се лични подаци прикупљају и достављају у Централни регистар кредита, приступити подацима у Централном регистру кредита и доставити подносиоцу захтјева, обавјештење о обради његових личних података, у складу са прописом којим је уређена област заштите личних података у БиХ.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Носилац личних података чији се лични подаци прикупљају и достављају у Централни регистар кредита, писани захтјев из става (1) овог члана, може предати лично на протокол Централне банке или доставити поштом на адресу Централне банке.</w:t>
      </w:r>
      <w:r>
        <w:rPr>
          <w:rFonts w:ascii="Times New Roman" w:hAnsi="Times New Roman" w:cs="Times New Roman"/>
          <w:sz w:val="24"/>
          <w:szCs w:val="24"/>
          <w:lang w:val="sr-Cyrl-BA"/>
        </w:rPr>
        <w:t>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Члан 7.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Ова одлука ступа на снагу осмог дана од дана њеног објављивања у “Службеном гласнику БиХ“, а примјењиваће се од 17.01.2022.године.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Ова одлука ће се објавити и у “Службеним новинама Федерације БиХ”, “Службеном гласнику Републике Српске” и “Службеном гласнику Брчко дистрикта БиХ”.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: УВ-122</w:t>
      </w:r>
      <w:r>
        <w:rPr>
          <w:rFonts w:ascii="Times New Roman" w:hAnsi="Times New Roman" w:cs="Times New Roman"/>
          <w:sz w:val="24"/>
          <w:szCs w:val="24"/>
          <w:lang w:val="sr-Latn-BA"/>
        </w:rPr>
        <w:t>-01-1-2221-10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/21 НГ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Предсједавајући</w:t>
      </w:r>
      <w:proofErr w:type="spellEnd"/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Сарајево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sr-Latn-BA"/>
        </w:rPr>
        <w:t>26.11.</w:t>
      </w:r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 xml:space="preserve">2021. године                                                   Управног </w:t>
      </w:r>
      <w:r>
        <w:rPr>
          <w:rFonts w:ascii="Times New Roman" w:hAnsi="Times New Roman" w:cs="Times New Roman"/>
          <w:sz w:val="24"/>
          <w:szCs w:val="24"/>
          <w:lang w:val="sr-Cyrl-BA"/>
        </w:rPr>
        <w:t>одбора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Централне банке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Босне и Херцеговине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ГУВЕРНЕР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др Сенад Софтић</w:t>
      </w:r>
    </w:p>
    <w:sectPr>
      <w:footerReference w:type="default" r:id="rId8"/>
      <w:pgSz w:w="12240" w:h="15840"/>
      <w:pgMar w:top="1134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  <w:noProof/>
      </w:rPr>
      <w:t>2</w:t>
    </w:r>
    <w:r>
      <w:rPr>
        <w:caps/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188"/>
    <w:multiLevelType w:val="hybridMultilevel"/>
    <w:tmpl w:val="3A843668"/>
    <w:lvl w:ilvl="0" w:tplc="B2A02BF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8499-2ED3-4F9A-835E-8426612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A164-4006-4F70-A603-E020016B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4</cp:revision>
  <cp:lastPrinted>2021-10-12T13:13:00Z</cp:lastPrinted>
  <dcterms:created xsi:type="dcterms:W3CDTF">2021-12-07T08:11:00Z</dcterms:created>
  <dcterms:modified xsi:type="dcterms:W3CDTF">2021-12-10T10:33:00Z</dcterms:modified>
</cp:coreProperties>
</file>