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EAD" w:rsidRDefault="004F5A9B">
      <w:pPr>
        <w:spacing w:after="0" w:line="24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sz w:val="24"/>
          <w:szCs w:val="24"/>
        </w:rPr>
        <w:t xml:space="preserve">Na temelju članaka 2. stavak 3. točke a., d., f. i g., 7. točka b), 36. i 57. Zakona o Centralnoj banci Bosne i Hercegovine </w:t>
      </w:r>
      <w:r>
        <w:rPr>
          <w:rFonts w:ascii="Times New Roman" w:eastAsia="Times New Roman" w:hAnsi="Times New Roman" w:cs="Times New Roman"/>
          <w:noProof/>
          <w:color w:val="000000"/>
          <w:sz w:val="24"/>
          <w:szCs w:val="24"/>
        </w:rPr>
        <w:t>(„Službeni glasnik BiH“, br. 1/97, 29/02, 8/03, 13/03, 14/03, 9/05, 76/06 i 32/07), Upravno vijeće Centralne banke Bosne i Hercegovine, na 5. sjednici održanoj dana 31.05.2023. godine, donosi</w:t>
      </w:r>
    </w:p>
    <w:p w:rsidR="00F46EAD" w:rsidRDefault="00F46EAD">
      <w:pPr>
        <w:spacing w:after="0" w:line="240" w:lineRule="auto"/>
        <w:rPr>
          <w:rFonts w:ascii="Times New Roman" w:eastAsia="Times New Roman" w:hAnsi="Times New Roman" w:cs="Times New Roman"/>
          <w:noProof/>
          <w:sz w:val="24"/>
          <w:szCs w:val="24"/>
        </w:rPr>
      </w:pPr>
    </w:p>
    <w:p w:rsidR="00F46EAD" w:rsidRDefault="00F46EAD">
      <w:pPr>
        <w:spacing w:after="0" w:line="240" w:lineRule="auto"/>
        <w:rPr>
          <w:rFonts w:ascii="Times New Roman" w:eastAsia="Times New Roman" w:hAnsi="Times New Roman" w:cs="Times New Roman"/>
          <w:noProof/>
          <w:sz w:val="24"/>
          <w:szCs w:val="24"/>
        </w:rPr>
      </w:pPr>
    </w:p>
    <w:p w:rsidR="00F46EAD" w:rsidRDefault="004F5A9B">
      <w:pPr>
        <w:spacing w:after="0" w:line="240" w:lineRule="auto"/>
        <w:jc w:val="center"/>
        <w:rPr>
          <w:rFonts w:ascii="Times New Roman" w:eastAsia="Times New Roman" w:hAnsi="Times New Roman" w:cs="Times New Roman"/>
          <w:b/>
          <w:noProof/>
          <w:spacing w:val="40"/>
          <w:sz w:val="24"/>
          <w:szCs w:val="24"/>
        </w:rPr>
      </w:pPr>
      <w:r>
        <w:rPr>
          <w:rFonts w:ascii="Times New Roman" w:eastAsia="Times New Roman" w:hAnsi="Times New Roman" w:cs="Times New Roman"/>
          <w:b/>
          <w:noProof/>
          <w:spacing w:val="40"/>
          <w:sz w:val="24"/>
          <w:szCs w:val="24"/>
        </w:rPr>
        <w:t>ODLUKU</w:t>
      </w:r>
    </w:p>
    <w:p w:rsidR="00F46EAD" w:rsidRDefault="004F5A9B">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o izmjenama i dopunama Odluke o utvrđivanju i održavanju obveznih rezervi i utvrđivanju naknade na iznos rezervi</w:t>
      </w:r>
    </w:p>
    <w:p w:rsidR="00F46EAD" w:rsidRDefault="00F46EAD">
      <w:pPr>
        <w:spacing w:after="0" w:line="240" w:lineRule="auto"/>
        <w:jc w:val="center"/>
        <w:rPr>
          <w:rFonts w:ascii="Times New Roman" w:eastAsia="Times New Roman" w:hAnsi="Times New Roman" w:cs="Times New Roman"/>
          <w:noProof/>
          <w:sz w:val="24"/>
          <w:szCs w:val="24"/>
        </w:rPr>
      </w:pPr>
    </w:p>
    <w:p w:rsidR="00F46EAD" w:rsidRDefault="00F46EAD">
      <w:pPr>
        <w:spacing w:after="0" w:line="240" w:lineRule="auto"/>
        <w:jc w:val="center"/>
        <w:rPr>
          <w:rFonts w:ascii="Times New Roman" w:eastAsia="Times New Roman" w:hAnsi="Times New Roman" w:cs="Times New Roman"/>
          <w:noProof/>
          <w:sz w:val="24"/>
          <w:szCs w:val="24"/>
        </w:rPr>
      </w:pPr>
    </w:p>
    <w:p w:rsidR="00F46EAD" w:rsidRDefault="004F5A9B">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Članak 1.</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 Odluci o utvrđivanju i održavanju obveznih rezervi i utvrđivanju naknade na iznos rezervi („Službeni glasnik BiH“, br. 70/21, 53/22, 81/22) u članku 3. stavke (1) i (2) mijenjaju se i glase:</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Osnovicu za obračun obvezne rezerve čine depoziti i pozajmljena sredstva, bez obzira u kojoj se valuti sredstva izraze. Osnovicu u domaćoj valuti za obračun obvezne rezerve u KM čine depoziti i pozajmljena sredstva u KM. Deviznu osnovicu za obračun obvezne rezerve u EUR čine depoziti i pozajmljena sredstva u KM s valutnom klauzulom i depoziti i pozajmljena sredstva u stranim valutama.</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Obvezna rezerva se obračunava prema stanju sredstava iz stavka (1) ovog članka, izraženih prema rezidualnom roku dospijeća, na kraju svakog dana kada Centralna banka vrši promjene na računima rezervi (u daljem tekstu: radni dan), tijekom obračunskog razdoblja koje prethodi razdoblju održavanja.“.</w:t>
      </w:r>
    </w:p>
    <w:p w:rsidR="00F46EAD" w:rsidRDefault="00F46EAD">
      <w:pPr>
        <w:spacing w:after="0" w:line="240" w:lineRule="auto"/>
        <w:jc w:val="both"/>
        <w:rPr>
          <w:rFonts w:ascii="Times New Roman" w:eastAsia="Times New Roman" w:hAnsi="Times New Roman" w:cs="Times New Roman"/>
          <w:noProof/>
          <w:sz w:val="24"/>
          <w:szCs w:val="24"/>
        </w:rPr>
      </w:pPr>
    </w:p>
    <w:p w:rsidR="00F46EAD" w:rsidRDefault="004F5A9B">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Članak 2.</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U članku 4. stavku (1) a iza riječi „markama“ dodaju se riječi „i u EUR“.</w:t>
      </w:r>
    </w:p>
    <w:p w:rsidR="00F46EAD" w:rsidRDefault="004F5A9B">
      <w:pPr>
        <w:spacing w:after="0" w:line="240" w:lineRule="auto"/>
        <w:rPr>
          <w:rFonts w:ascii="Times New Roman" w:hAnsi="Times New Roman" w:cs="Times New Roman"/>
          <w:sz w:val="24"/>
          <w:szCs w:val="24"/>
        </w:rPr>
      </w:pPr>
      <w:r>
        <w:rPr>
          <w:rFonts w:ascii="Times New Roman" w:hAnsi="Times New Roman" w:cs="Times New Roman"/>
          <w:sz w:val="24"/>
          <w:szCs w:val="24"/>
        </w:rPr>
        <w:t>(2) Iza stavka (1) dodaje se stavak (2) koji glasi:</w:t>
      </w:r>
    </w:p>
    <w:p w:rsidR="00F46EAD" w:rsidRDefault="004F5A9B">
      <w:pPr>
        <w:pStyle w:val="BodyText"/>
        <w:jc w:val="both"/>
        <w:rPr>
          <w:rFonts w:ascii="Times New Roman" w:hAnsi="Times New Roman"/>
          <w:noProof/>
          <w:szCs w:val="24"/>
          <w:lang w:val="bs-Latn-BA"/>
        </w:rPr>
      </w:pPr>
      <w:r>
        <w:rPr>
          <w:rFonts w:ascii="Times New Roman" w:hAnsi="Times New Roman"/>
          <w:szCs w:val="24"/>
        </w:rPr>
        <w:t>„(2) Banka je pored podataka koje dostavlja na obrascu iz stavka (1) ovog članka</w:t>
      </w:r>
      <w:r>
        <w:t xml:space="preserve"> </w:t>
      </w:r>
      <w:r>
        <w:rPr>
          <w:rFonts w:ascii="Times New Roman" w:hAnsi="Times New Roman"/>
          <w:szCs w:val="24"/>
        </w:rPr>
        <w:t xml:space="preserve">putem e-maila, Centralnoj banci dužna dostaviti iste podatke </w:t>
      </w:r>
      <w:r>
        <w:rPr>
          <w:rFonts w:ascii="Times New Roman" w:hAnsi="Times New Roman"/>
          <w:noProof/>
          <w:szCs w:val="24"/>
          <w:lang w:val="bs-Latn-BA"/>
        </w:rPr>
        <w:t xml:space="preserve">u istom roku i u elektronskom obliku na način utvrđen tehničkom uputom od strane Centralne banke. </w:t>
      </w:r>
    </w:p>
    <w:p w:rsidR="00F46EAD" w:rsidRDefault="00F46EAD">
      <w:pPr>
        <w:spacing w:after="0" w:line="240" w:lineRule="auto"/>
        <w:rPr>
          <w:rFonts w:ascii="Times New Roman" w:hAnsi="Times New Roman" w:cs="Times New Roman"/>
          <w:sz w:val="24"/>
          <w:szCs w:val="24"/>
        </w:rPr>
      </w:pPr>
    </w:p>
    <w:p w:rsidR="00F46EAD" w:rsidRDefault="004F5A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3.</w:t>
      </w:r>
    </w:p>
    <w:p w:rsidR="00F46EAD" w:rsidRDefault="004F5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Članci 5. i 6.,</w:t>
      </w:r>
      <w:r>
        <w:rPr>
          <w:rFonts w:ascii="Times New Roman" w:hAnsi="Times New Roman" w:cs="Times New Roman"/>
          <w:color w:val="FF0000"/>
          <w:sz w:val="24"/>
          <w:szCs w:val="24"/>
        </w:rPr>
        <w:t xml:space="preserve"> </w:t>
      </w:r>
      <w:r>
        <w:rPr>
          <w:rFonts w:ascii="Times New Roman" w:hAnsi="Times New Roman" w:cs="Times New Roman"/>
          <w:sz w:val="24"/>
          <w:szCs w:val="24"/>
        </w:rPr>
        <w:t>mijenjaju se i glase:</w:t>
      </w:r>
    </w:p>
    <w:p w:rsidR="00F46EAD" w:rsidRDefault="004F5A9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„Članak 5.</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 Obvezna rezerva se obračunava kao obvezna rezerva u KM na osnovicu u domaćoj valuti i obvezna rezerva u EUR na deviznu osnovicu.</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Stopa obvezne rezerve koju Centralna banka primjenjuje iznosi:</w:t>
      </w:r>
    </w:p>
    <w:p w:rsidR="00F46EAD" w:rsidRDefault="004F5A9B">
      <w:pPr>
        <w:numPr>
          <w:ilvl w:val="0"/>
          <w:numId w:val="3"/>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10 % na osnovicu u domaćoj valuti s rezidualnim rokom dospijeća do jedne godine,</w:t>
      </w:r>
    </w:p>
    <w:p w:rsidR="00F46EAD" w:rsidRDefault="004F5A9B">
      <w:pPr>
        <w:numPr>
          <w:ilvl w:val="0"/>
          <w:numId w:val="3"/>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10 % na deviznu osnovicu s rezidualnim rokom dospijeća do jedne godine,</w:t>
      </w:r>
    </w:p>
    <w:p w:rsidR="00F46EAD" w:rsidRDefault="004F5A9B">
      <w:pPr>
        <w:numPr>
          <w:ilvl w:val="0"/>
          <w:numId w:val="3"/>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10 % na osnovicu u domaćoj valuti s rezidualnim rokom dospijeća preko jedne godine,</w:t>
      </w:r>
    </w:p>
    <w:p w:rsidR="00F46EAD" w:rsidRDefault="004F5A9B">
      <w:pPr>
        <w:numPr>
          <w:ilvl w:val="0"/>
          <w:numId w:val="3"/>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10 % na deviznu osnovicu s rezidualnom rokom dospijeća preko jedne godine.</w:t>
      </w:r>
    </w:p>
    <w:p w:rsidR="00F46EAD" w:rsidRDefault="00F46EAD">
      <w:pPr>
        <w:spacing w:after="0" w:line="240" w:lineRule="auto"/>
        <w:jc w:val="center"/>
        <w:rPr>
          <w:rFonts w:ascii="Times New Roman" w:eastAsia="Times New Roman" w:hAnsi="Times New Roman" w:cs="Times New Roman"/>
          <w:noProof/>
          <w:sz w:val="24"/>
          <w:szCs w:val="24"/>
        </w:rPr>
      </w:pPr>
    </w:p>
    <w:p w:rsidR="00F46EAD" w:rsidRDefault="004F5A9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Članak 6.</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Sredstva kojima banka može održavati obvezne rezerve, obračunane u smislu ove odluke, su:</w:t>
      </w:r>
    </w:p>
    <w:p w:rsidR="00F46EAD" w:rsidRDefault="004F5A9B">
      <w:pPr>
        <w:numPr>
          <w:ilvl w:val="0"/>
          <w:numId w:val="2"/>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za obveznu rezervu u KM potražni saldo sredstava te banke na računu rezervi u KM kod Centralne banke, na kraju svakog radnog dana u razdoblju održavanja,</w:t>
      </w:r>
    </w:p>
    <w:p w:rsidR="00F46EAD" w:rsidRDefault="004F5A9B">
      <w:pPr>
        <w:numPr>
          <w:ilvl w:val="0"/>
          <w:numId w:val="2"/>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za obveznu rezervu u EUR potražni saldo sredstava te banke na računu rezervi u EUR kod Centralne banke, na kraju svakog radnog dana u razdoblju održavanja.“</w:t>
      </w:r>
    </w:p>
    <w:p w:rsidR="00F46EAD" w:rsidRDefault="00F46EAD">
      <w:pPr>
        <w:spacing w:after="0" w:line="240" w:lineRule="auto"/>
        <w:rPr>
          <w:rFonts w:ascii="Times New Roman" w:eastAsia="Times New Roman" w:hAnsi="Times New Roman" w:cs="Times New Roman"/>
          <w:noProof/>
          <w:sz w:val="24"/>
          <w:szCs w:val="24"/>
        </w:rPr>
      </w:pPr>
    </w:p>
    <w:p w:rsidR="00F46EAD" w:rsidRDefault="004F5A9B">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lastRenderedPageBreak/>
        <w:t>Članak 4.</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Članak 7. mijenja se i glasi:</w:t>
      </w:r>
    </w:p>
    <w:p w:rsidR="00F46EAD" w:rsidRDefault="004F5A9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„Članak 7.</w:t>
      </w:r>
    </w:p>
    <w:p w:rsidR="00F46EAD" w:rsidRDefault="004F5A9B">
      <w:pPr>
        <w:pStyle w:val="NoSpacing"/>
        <w:numPr>
          <w:ilvl w:val="0"/>
          <w:numId w:val="14"/>
        </w:numPr>
        <w:tabs>
          <w:tab w:val="left" w:pos="284"/>
        </w:tabs>
        <w:ind w:left="0" w:firstLine="0"/>
        <w:jc w:val="both"/>
        <w:rPr>
          <w:rFonts w:ascii="Times New Roman" w:hAnsi="Times New Roman" w:cs="Times New Roman"/>
          <w:noProof/>
          <w:sz w:val="24"/>
          <w:lang w:val="sr-Latn-RS"/>
        </w:rPr>
      </w:pPr>
      <w:r>
        <w:rPr>
          <w:rFonts w:ascii="Times New Roman" w:hAnsi="Times New Roman" w:cs="Times New Roman"/>
          <w:noProof/>
          <w:sz w:val="24"/>
          <w:lang w:val="sr-Latn-RS"/>
        </w:rPr>
        <w:t xml:space="preserve"> </w:t>
      </w:r>
      <w:r>
        <w:rPr>
          <w:rFonts w:ascii="Times New Roman" w:eastAsia="Times New Roman" w:hAnsi="Times New Roman" w:cs="Times New Roman"/>
          <w:noProof/>
          <w:sz w:val="24"/>
          <w:szCs w:val="24"/>
        </w:rPr>
        <w:t>U razdoblju od 1. srpnja do 30. rujna 2023. godine</w:t>
      </w:r>
      <w:r>
        <w:rPr>
          <w:rFonts w:ascii="Times New Roman" w:hAnsi="Times New Roman" w:cs="Times New Roman"/>
          <w:noProof/>
          <w:sz w:val="24"/>
          <w:lang w:val="sr-Latn-RS"/>
        </w:rPr>
        <w:t>, Centralna banka na računu rezervi banke u obračunskom razdoblju:</w:t>
      </w:r>
    </w:p>
    <w:p w:rsidR="00F46EAD" w:rsidRDefault="004F5A9B">
      <w:pPr>
        <w:pStyle w:val="NoSpacing"/>
        <w:numPr>
          <w:ilvl w:val="0"/>
          <w:numId w:val="13"/>
        </w:numPr>
        <w:jc w:val="both"/>
        <w:rPr>
          <w:rFonts w:ascii="Times New Roman" w:hAnsi="Times New Roman" w:cs="Times New Roman"/>
          <w:noProof/>
          <w:sz w:val="24"/>
          <w:lang w:val="sr-Latn-RS"/>
        </w:rPr>
      </w:pPr>
      <w:r>
        <w:rPr>
          <w:rFonts w:ascii="Times New Roman" w:hAnsi="Times New Roman" w:cs="Times New Roman"/>
          <w:noProof/>
          <w:sz w:val="24"/>
          <w:lang w:val="sr-Latn-RS"/>
        </w:rPr>
        <w:t xml:space="preserve">na sredstva obvezne rezerve po osnovi osnovice u domaćoj valuti, KM – obračunava naknadu po stopi </w:t>
      </w:r>
      <w:r>
        <w:rPr>
          <w:rFonts w:ascii="Times New Roman" w:hAnsi="Times New Roman" w:cs="Times New Roman"/>
          <w:noProof/>
          <w:sz w:val="24"/>
        </w:rPr>
        <w:t>od 50 baznih bodova</w:t>
      </w:r>
      <w:r>
        <w:rPr>
          <w:rFonts w:ascii="Times New Roman" w:hAnsi="Times New Roman" w:cs="Times New Roman"/>
          <w:noProof/>
          <w:sz w:val="24"/>
          <w:lang w:val="sr-Latn-RS"/>
        </w:rPr>
        <w:t>,</w:t>
      </w:r>
    </w:p>
    <w:p w:rsidR="00F46EAD" w:rsidRDefault="004F5A9B">
      <w:pPr>
        <w:pStyle w:val="NoSpacing"/>
        <w:numPr>
          <w:ilvl w:val="0"/>
          <w:numId w:val="13"/>
        </w:numPr>
        <w:jc w:val="both"/>
        <w:rPr>
          <w:rFonts w:ascii="Times New Roman" w:hAnsi="Times New Roman" w:cs="Times New Roman"/>
          <w:noProof/>
          <w:sz w:val="24"/>
          <w:lang w:val="sr-Latn-RS"/>
        </w:rPr>
      </w:pPr>
      <w:r>
        <w:rPr>
          <w:rFonts w:ascii="Times New Roman" w:hAnsi="Times New Roman" w:cs="Times New Roman"/>
          <w:noProof/>
          <w:sz w:val="24"/>
          <w:lang w:val="sr-Latn-RS"/>
        </w:rPr>
        <w:t xml:space="preserve">na sredstva obvezne rezerve po osnovi osnovice u stranim valutama i u domaćoj valuti s valutnom klauzulom – obračunava naknadu po stopi </w:t>
      </w:r>
      <w:r>
        <w:rPr>
          <w:rFonts w:ascii="Times New Roman" w:hAnsi="Times New Roman" w:cs="Times New Roman"/>
          <w:noProof/>
          <w:sz w:val="24"/>
        </w:rPr>
        <w:t>od 30 baznih bodova,</w:t>
      </w:r>
      <w:r>
        <w:rPr>
          <w:rFonts w:ascii="Times New Roman" w:hAnsi="Times New Roman" w:cs="Times New Roman"/>
          <w:noProof/>
          <w:sz w:val="24"/>
          <w:lang w:val="sr-Latn-RS"/>
        </w:rPr>
        <w:t xml:space="preserve"> i</w:t>
      </w:r>
    </w:p>
    <w:p w:rsidR="00F46EAD" w:rsidRDefault="004F5A9B">
      <w:pPr>
        <w:pStyle w:val="NoSpacing"/>
        <w:numPr>
          <w:ilvl w:val="0"/>
          <w:numId w:val="13"/>
        </w:numPr>
        <w:jc w:val="both"/>
        <w:rPr>
          <w:rFonts w:ascii="Times New Roman" w:hAnsi="Times New Roman" w:cs="Times New Roman"/>
          <w:noProof/>
          <w:sz w:val="24"/>
          <w:lang w:val="sr-Latn-RS"/>
        </w:rPr>
      </w:pPr>
      <w:r>
        <w:rPr>
          <w:rFonts w:ascii="Times New Roman" w:hAnsi="Times New Roman" w:cs="Times New Roman"/>
          <w:noProof/>
          <w:sz w:val="24"/>
          <w:lang w:val="sr-Latn-RS"/>
        </w:rPr>
        <w:t>na sredstva iznad obvezne rezerve – obračunava naknadu po nultoj stopi.</w:t>
      </w:r>
    </w:p>
    <w:p w:rsidR="00F46EAD" w:rsidRDefault="004F5A9B">
      <w:pPr>
        <w:spacing w:after="0" w:line="240" w:lineRule="auto"/>
        <w:contextualSpacing/>
        <w:jc w:val="both"/>
        <w:rPr>
          <w:rFonts w:ascii="Times New Roman" w:eastAsia="Times New Roman" w:hAnsi="Times New Roman" w:cs="Times New Roman"/>
          <w:noProof/>
          <w:sz w:val="24"/>
          <w:szCs w:val="24"/>
        </w:rPr>
      </w:pPr>
      <w:r>
        <w:rPr>
          <w:rFonts w:ascii="Times New Roman" w:eastAsia="Calibri" w:hAnsi="Times New Roman" w:cs="Times New Roman"/>
          <w:noProof/>
          <w:sz w:val="24"/>
          <w:szCs w:val="24"/>
        </w:rPr>
        <w:t>(2)</w:t>
      </w:r>
      <w:r>
        <w:rPr>
          <w:rFonts w:ascii="Calibri" w:eastAsia="Calibri" w:hAnsi="Calibri" w:cs="Times New Roman"/>
          <w:noProof/>
        </w:rPr>
        <w:t xml:space="preserve"> </w:t>
      </w:r>
      <w:r>
        <w:rPr>
          <w:rFonts w:ascii="Times New Roman" w:eastAsia="Times New Roman" w:hAnsi="Times New Roman" w:cs="Times New Roman"/>
          <w:noProof/>
          <w:sz w:val="24"/>
          <w:szCs w:val="24"/>
        </w:rPr>
        <w:t>Centralna banka obračunava naknadu banci na iznos sredstava koji ta banka drži na računu rezervi u KM u razdoblju održavanja:</w:t>
      </w:r>
    </w:p>
    <w:p w:rsidR="00F46EAD" w:rsidRDefault="004F5A9B">
      <w:pPr>
        <w:pStyle w:val="ListParagraph"/>
        <w:numPr>
          <w:ilvl w:val="0"/>
          <w:numId w:val="5"/>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na sredstva obvezne rezerve u KM – po stopi </w:t>
      </w:r>
      <w:bookmarkStart w:id="0" w:name="_Hlk117601950"/>
      <w:r>
        <w:rPr>
          <w:rFonts w:ascii="Times New Roman" w:eastAsia="Times New Roman" w:hAnsi="Times New Roman" w:cs="Times New Roman"/>
          <w:noProof/>
          <w:sz w:val="24"/>
          <w:szCs w:val="24"/>
        </w:rPr>
        <w:t>od 50 baznih bodova</w:t>
      </w:r>
      <w:r>
        <w:rPr>
          <w:rFonts w:ascii="Times New Roman" w:eastAsia="Calibri" w:hAnsi="Times New Roman" w:cs="Times New Roman"/>
          <w:noProof/>
          <w:sz w:val="24"/>
          <w:szCs w:val="24"/>
        </w:rPr>
        <w:t>,</w:t>
      </w:r>
      <w:bookmarkEnd w:id="0"/>
    </w:p>
    <w:p w:rsidR="00F46EAD" w:rsidRDefault="004F5A9B">
      <w:pPr>
        <w:pStyle w:val="ListParagraph"/>
        <w:numPr>
          <w:ilvl w:val="0"/>
          <w:numId w:val="5"/>
        </w:num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na sredstva iznad obvezne rezerve u KM – po </w:t>
      </w:r>
      <w:r>
        <w:rPr>
          <w:rFonts w:ascii="Times New Roman" w:eastAsia="Times New Roman" w:hAnsi="Times New Roman" w:cs="Times New Roman"/>
          <w:noProof/>
          <w:sz w:val="24"/>
          <w:szCs w:val="24"/>
          <w:lang w:val="sr-Latn-RS"/>
        </w:rPr>
        <w:t>nultoj stopi.</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(3) </w:t>
      </w:r>
      <w:r>
        <w:rPr>
          <w:rFonts w:ascii="Times New Roman" w:eastAsia="Times New Roman" w:hAnsi="Times New Roman" w:cs="Times New Roman"/>
          <w:noProof/>
          <w:sz w:val="24"/>
          <w:szCs w:val="24"/>
          <w:lang w:val="en-GB"/>
        </w:rPr>
        <w:t>Centralna banka obračunava naknadu banci na iznos sredstava koji ta banka drži na računu rezervi u EUR u razdoblju održavanja</w:t>
      </w:r>
      <w:r>
        <w:rPr>
          <w:rFonts w:ascii="Times New Roman" w:eastAsia="Times New Roman" w:hAnsi="Times New Roman" w:cs="Times New Roman"/>
          <w:noProof/>
          <w:sz w:val="24"/>
          <w:szCs w:val="24"/>
        </w:rPr>
        <w:t>:</w:t>
      </w:r>
    </w:p>
    <w:p w:rsidR="00F46EAD" w:rsidRDefault="004F5A9B">
      <w:pPr>
        <w:pStyle w:val="ListParagraph"/>
        <w:numPr>
          <w:ilvl w:val="0"/>
          <w:numId w:val="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na sredstva obvezne rezerve u EUR – po stopi od 30 baznih bodova,</w:t>
      </w:r>
    </w:p>
    <w:p w:rsidR="00F46EAD" w:rsidRDefault="004F5A9B">
      <w:pPr>
        <w:pStyle w:val="ListParagraph"/>
        <w:numPr>
          <w:ilvl w:val="0"/>
          <w:numId w:val="6"/>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na sredstva iznad obvezne rezerve u EUR – po </w:t>
      </w:r>
      <w:r>
        <w:rPr>
          <w:rFonts w:ascii="Times New Roman" w:eastAsia="Times New Roman" w:hAnsi="Times New Roman" w:cs="Times New Roman"/>
          <w:noProof/>
          <w:sz w:val="24"/>
          <w:szCs w:val="24"/>
          <w:lang w:val="sr-Latn-RS"/>
        </w:rPr>
        <w:t>nultoj stopi</w:t>
      </w:r>
      <w:r>
        <w:rPr>
          <w:rFonts w:ascii="Times New Roman" w:eastAsia="Times New Roman" w:hAnsi="Times New Roman" w:cs="Times New Roman"/>
          <w:noProof/>
          <w:sz w:val="24"/>
          <w:szCs w:val="24"/>
        </w:rPr>
        <w:t>.“</w:t>
      </w:r>
    </w:p>
    <w:p w:rsidR="00F46EAD" w:rsidRDefault="00F46EAD">
      <w:pPr>
        <w:spacing w:after="0" w:line="240" w:lineRule="auto"/>
        <w:jc w:val="both"/>
        <w:rPr>
          <w:rFonts w:ascii="Times New Roman" w:eastAsia="Times New Roman" w:hAnsi="Times New Roman" w:cs="Times New Roman"/>
          <w:b/>
          <w:noProof/>
          <w:sz w:val="24"/>
          <w:szCs w:val="24"/>
        </w:rPr>
      </w:pPr>
    </w:p>
    <w:p w:rsidR="00F46EAD" w:rsidRDefault="004F5A9B">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Članak 5.</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 članku 8. riječi „računa rezervi“ mijenjaju se i glase: „na računu rezervi u KM i računu rezervi u EUR“.</w:t>
      </w:r>
    </w:p>
    <w:p w:rsidR="00F46EAD" w:rsidRDefault="00F46EAD">
      <w:pPr>
        <w:spacing w:after="0" w:line="240" w:lineRule="auto"/>
        <w:jc w:val="both"/>
        <w:rPr>
          <w:rFonts w:ascii="Times New Roman" w:eastAsia="Times New Roman" w:hAnsi="Times New Roman" w:cs="Times New Roman"/>
          <w:noProof/>
          <w:sz w:val="24"/>
          <w:szCs w:val="24"/>
        </w:rPr>
      </w:pPr>
    </w:p>
    <w:p w:rsidR="00F46EAD" w:rsidRDefault="004F5A9B">
      <w:pPr>
        <w:spacing w:after="0" w:line="24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Članak 6.</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Članak 9. mijenja se i glasi:</w:t>
      </w:r>
    </w:p>
    <w:p w:rsidR="00F46EAD" w:rsidRDefault="004F5A9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„Članak 9.</w:t>
      </w:r>
    </w:p>
    <w:p w:rsidR="00F46EAD" w:rsidRDefault="004F5A9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Banka nije ispunila obveznu rezervu:</w:t>
      </w:r>
    </w:p>
    <w:p w:rsidR="00F46EAD" w:rsidRDefault="004F5A9B">
      <w:pPr>
        <w:pStyle w:val="ListParagraph"/>
        <w:numPr>
          <w:ilvl w:val="0"/>
          <w:numId w:val="7"/>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ukoliko u razdoblju održavanja obvezne rezerve u KM ne osigura ukupna sredstva na računu rezervi u KM, ili</w:t>
      </w:r>
    </w:p>
    <w:p w:rsidR="00F46EAD" w:rsidRDefault="004F5A9B">
      <w:pPr>
        <w:pStyle w:val="ListParagraph"/>
        <w:numPr>
          <w:ilvl w:val="0"/>
          <w:numId w:val="7"/>
        </w:num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ukoliko u razdoblju održavanja obvezne rezerve u EUR ne osigura ukupna sredstva na računu rezervi u EUR, ili</w:t>
      </w:r>
    </w:p>
    <w:p w:rsidR="00F46EAD" w:rsidRDefault="004F5A9B">
      <w:pPr>
        <w:pStyle w:val="ListParagraph"/>
        <w:numPr>
          <w:ilvl w:val="0"/>
          <w:numId w:val="7"/>
        </w:numPr>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4"/>
          <w:szCs w:val="24"/>
        </w:rPr>
        <w:t xml:space="preserve">u cijelosti ako Centralnoj banci blagovremeno ne dostavi pravilno i potpuno popunjen propisani obrazac Izvješća za obračun obvezne rezerve i podatke u elektronskom obliku, u skladu sa člankom 4. ove odluke. </w:t>
      </w:r>
    </w:p>
    <w:p w:rsidR="00F46EAD" w:rsidRDefault="00F46EAD">
      <w:pPr>
        <w:pStyle w:val="ListParagraph"/>
        <w:spacing w:after="0" w:line="240" w:lineRule="auto"/>
        <w:ind w:left="0"/>
        <w:jc w:val="both"/>
        <w:rPr>
          <w:rFonts w:ascii="Times New Roman" w:hAnsi="Times New Roman" w:cs="Times New Roman"/>
          <w:sz w:val="24"/>
          <w:szCs w:val="24"/>
        </w:rPr>
      </w:pPr>
    </w:p>
    <w:p w:rsidR="00F46EAD" w:rsidRDefault="004F5A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7.</w:t>
      </w:r>
    </w:p>
    <w:p w:rsidR="00F46EAD" w:rsidRDefault="004F5A9B">
      <w:pPr>
        <w:spacing w:after="0" w:line="240" w:lineRule="auto"/>
        <w:rPr>
          <w:rFonts w:ascii="Times New Roman" w:hAnsi="Times New Roman" w:cs="Times New Roman"/>
          <w:sz w:val="24"/>
          <w:szCs w:val="24"/>
        </w:rPr>
      </w:pPr>
      <w:r>
        <w:rPr>
          <w:rFonts w:ascii="Times New Roman" w:hAnsi="Times New Roman" w:cs="Times New Roman"/>
          <w:sz w:val="24"/>
          <w:szCs w:val="24"/>
        </w:rPr>
        <w:t>(1) U članku 11. točke b), c), d), f), g), h), i), m) i o) mijenjaju se i sada glase:</w:t>
      </w:r>
    </w:p>
    <w:p w:rsidR="00F46EAD" w:rsidRDefault="004F5A9B">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b/>
          <w:sz w:val="24"/>
          <w:szCs w:val="24"/>
        </w:rPr>
        <w:t>račun rezervi u KM</w:t>
      </w:r>
      <w:r>
        <w:rPr>
          <w:rFonts w:ascii="Times New Roman" w:hAnsi="Times New Roman" w:cs="Times New Roman"/>
          <w:sz w:val="24"/>
          <w:szCs w:val="24"/>
        </w:rPr>
        <w:t xml:space="preserve"> – račun kod Centralne banke na kojem banka drži sredstva rezervi u KM radi ispunjenja obvezne rezerve u KM,</w:t>
      </w:r>
    </w:p>
    <w:p w:rsidR="00F46EAD" w:rsidRDefault="004F5A9B">
      <w:p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b/>
          <w:sz w:val="24"/>
          <w:szCs w:val="24"/>
        </w:rPr>
        <w:t>račun rezervi u EUR</w:t>
      </w:r>
      <w:r>
        <w:rPr>
          <w:rFonts w:ascii="Times New Roman" w:hAnsi="Times New Roman" w:cs="Times New Roman"/>
          <w:sz w:val="24"/>
          <w:szCs w:val="24"/>
        </w:rPr>
        <w:t xml:space="preserve"> – račun kod Centralne banke na kojem banka drži sredstva rezervi u EUR radi ispunjenja obvezne rezerve u EUR,</w:t>
      </w:r>
    </w:p>
    <w:p w:rsidR="00F46EAD" w:rsidRDefault="004F5A9B">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osnovica za obračun obveznih rezervi</w:t>
      </w:r>
      <w:r>
        <w:rPr>
          <w:rFonts w:ascii="Times New Roman" w:hAnsi="Times New Roman" w:cs="Times New Roman"/>
          <w:sz w:val="24"/>
          <w:szCs w:val="24"/>
        </w:rPr>
        <w:t xml:space="preserve"> – prosjek depozita banke i pozajmljenih sredstava banke bez obzira na valutu u kojoj su sredstva izražena, prema </w:t>
      </w:r>
      <w:proofErr w:type="spellStart"/>
      <w:r>
        <w:rPr>
          <w:rFonts w:ascii="Times New Roman" w:hAnsi="Times New Roman" w:cs="Times New Roman"/>
          <w:sz w:val="24"/>
          <w:szCs w:val="24"/>
        </w:rPr>
        <w:t>izvješću</w:t>
      </w:r>
      <w:proofErr w:type="spellEnd"/>
      <w:r>
        <w:rPr>
          <w:rFonts w:ascii="Times New Roman" w:hAnsi="Times New Roman" w:cs="Times New Roman"/>
          <w:sz w:val="24"/>
          <w:szCs w:val="24"/>
        </w:rPr>
        <w:t xml:space="preserve"> koje banka dostavlja Centralnoj banci na propisanom obrascu u skladu sa člankom 4. ove odluke, a na koje se obračunava obveza. Osnovicu za obračun obvezne rezerve čine osnovica u domaćoj valuti, KM i devizna osnovica. Deviznu osnovicu čine osnovica u KM s valutnom klauzulom i osnovica u stranim valutama,</w:t>
      </w:r>
    </w:p>
    <w:p w:rsidR="00F46EAD" w:rsidRDefault="004F5A9B">
      <w:pPr>
        <w:spacing w:after="0" w:line="240" w:lineRule="auto"/>
        <w:ind w:left="426" w:hanging="284"/>
        <w:jc w:val="both"/>
        <w:rPr>
          <w:rFonts w:ascii="Times New Roman" w:hAnsi="Times New Roman" w:cs="Times New Roman"/>
          <w:noProof/>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b/>
          <w:sz w:val="24"/>
          <w:szCs w:val="24"/>
        </w:rPr>
        <w:t xml:space="preserve">obvezna rezerva u </w:t>
      </w:r>
      <w:r>
        <w:rPr>
          <w:rFonts w:ascii="Times New Roman" w:hAnsi="Times New Roman" w:cs="Times New Roman"/>
          <w:b/>
          <w:noProof/>
          <w:sz w:val="24"/>
          <w:szCs w:val="24"/>
        </w:rPr>
        <w:t>KM</w:t>
      </w:r>
      <w:r>
        <w:rPr>
          <w:rFonts w:ascii="Times New Roman" w:hAnsi="Times New Roman" w:cs="Times New Roman"/>
          <w:noProof/>
          <w:sz w:val="24"/>
          <w:szCs w:val="24"/>
        </w:rPr>
        <w:t xml:space="preserve"> banke izračunava se množenjem osnovice za obračun obvezne rezerve u domaćoj valuti sa odgovarajućom stopom obvezne rezerve i predstavlja </w:t>
      </w:r>
      <w:r>
        <w:rPr>
          <w:rFonts w:ascii="Times New Roman" w:hAnsi="Times New Roman" w:cs="Times New Roman"/>
          <w:noProof/>
          <w:sz w:val="24"/>
          <w:szCs w:val="24"/>
        </w:rPr>
        <w:lastRenderedPageBreak/>
        <w:t>minimalan iznos sredstava koje banka mora kao prosječne dnevne rezerve u razdoblju održavanja, držati na računu rezervi u KM kod Centralne banke,</w:t>
      </w:r>
    </w:p>
    <w:p w:rsidR="00F46EAD" w:rsidRDefault="004F5A9B">
      <w:pPr>
        <w:spacing w:after="0" w:line="240" w:lineRule="auto"/>
        <w:ind w:left="426" w:hanging="284"/>
        <w:jc w:val="both"/>
        <w:rPr>
          <w:rFonts w:ascii="Times New Roman" w:hAnsi="Times New Roman" w:cs="Times New Roman"/>
          <w:noProof/>
          <w:sz w:val="24"/>
          <w:szCs w:val="24"/>
        </w:rPr>
      </w:pPr>
      <w:r>
        <w:rPr>
          <w:rFonts w:ascii="Times New Roman" w:hAnsi="Times New Roman" w:cs="Times New Roman"/>
          <w:noProof/>
          <w:sz w:val="24"/>
          <w:szCs w:val="24"/>
        </w:rPr>
        <w:t>g)</w:t>
      </w:r>
      <w:r>
        <w:rPr>
          <w:rFonts w:ascii="Times New Roman" w:hAnsi="Times New Roman" w:cs="Times New Roman"/>
          <w:noProof/>
          <w:sz w:val="24"/>
          <w:szCs w:val="24"/>
        </w:rPr>
        <w:tab/>
      </w:r>
      <w:r>
        <w:rPr>
          <w:rFonts w:ascii="Times New Roman" w:hAnsi="Times New Roman" w:cs="Times New Roman"/>
          <w:b/>
          <w:noProof/>
          <w:sz w:val="24"/>
          <w:szCs w:val="24"/>
        </w:rPr>
        <w:t>obvezna rezerva u EUR</w:t>
      </w:r>
      <w:r>
        <w:rPr>
          <w:rFonts w:ascii="Times New Roman" w:hAnsi="Times New Roman" w:cs="Times New Roman"/>
          <w:noProof/>
          <w:sz w:val="24"/>
          <w:szCs w:val="24"/>
        </w:rPr>
        <w:t xml:space="preserve"> banke izračunava se množenjem devizne osnovice za obračun obvezne rezerve sa odgovarajućom stopom obvezne rezerve i predstavlja minimalan iznos sredstava koje banka mora kao prosječne dnevne rezerve u razdoblju održavanja, držati na računu rezervi u EUR kod Centralne banke,</w:t>
      </w:r>
    </w:p>
    <w:p w:rsidR="00F46EAD" w:rsidRDefault="004F5A9B">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b/>
          <w:sz w:val="24"/>
          <w:szCs w:val="24"/>
        </w:rPr>
        <w:t>održavanje obvezne rezerve</w:t>
      </w:r>
      <w:r>
        <w:rPr>
          <w:rFonts w:ascii="Times New Roman" w:hAnsi="Times New Roman" w:cs="Times New Roman"/>
          <w:sz w:val="24"/>
          <w:szCs w:val="24"/>
        </w:rPr>
        <w:t xml:space="preserve"> – držanje propisane razine novčanih depozita na računu rezervi u KM i na računu rezervi u EUR kod Centralne banke, a koji se obračunavaju kao prosječne dnevne rezerve u obračunskom razdoblju,</w:t>
      </w:r>
    </w:p>
    <w:p w:rsidR="00F46EAD" w:rsidRDefault="004F5A9B">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b/>
          <w:sz w:val="24"/>
          <w:szCs w:val="24"/>
        </w:rPr>
        <w:t>ispunjavanje obvezne rezerve</w:t>
      </w:r>
      <w:r>
        <w:rPr>
          <w:rFonts w:ascii="Times New Roman" w:hAnsi="Times New Roman" w:cs="Times New Roman"/>
          <w:sz w:val="24"/>
          <w:szCs w:val="24"/>
        </w:rPr>
        <w:t xml:space="preserve"> – ispunjavanje svih uvjeta koje je postavila Centralna banka za održavanje obvezne rezerve u pogledu osiguranja zahtijevanog iznosa sredstava rezervi, dostavljanja propisanih </w:t>
      </w:r>
      <w:proofErr w:type="spellStart"/>
      <w:r>
        <w:rPr>
          <w:rFonts w:ascii="Times New Roman" w:hAnsi="Times New Roman" w:cs="Times New Roman"/>
          <w:sz w:val="24"/>
          <w:szCs w:val="24"/>
        </w:rPr>
        <w:t>izvješća</w:t>
      </w:r>
      <w:proofErr w:type="spellEnd"/>
      <w:r>
        <w:rPr>
          <w:rFonts w:ascii="Times New Roman" w:hAnsi="Times New Roman" w:cs="Times New Roman"/>
          <w:sz w:val="24"/>
          <w:szCs w:val="24"/>
        </w:rPr>
        <w:t xml:space="preserve"> u propisanim rokovima,</w:t>
      </w:r>
    </w:p>
    <w:p w:rsidR="00F46EAD" w:rsidRDefault="004F5A9B">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b/>
          <w:sz w:val="24"/>
          <w:szCs w:val="24"/>
        </w:rPr>
        <w:tab/>
        <w:t>naknada</w:t>
      </w:r>
      <w:r>
        <w:rPr>
          <w:rFonts w:ascii="Times New Roman" w:hAnsi="Times New Roman" w:cs="Times New Roman"/>
          <w:sz w:val="24"/>
          <w:szCs w:val="24"/>
        </w:rPr>
        <w:t xml:space="preserve"> – kamata koju Centralna banka obračunava na iznos sredstava te banke na računu rezervi u KM i računu rezervi u EUR, kod Centralne banke,</w:t>
      </w:r>
    </w:p>
    <w:p w:rsidR="00F46EAD" w:rsidRDefault="004F5A9B">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b/>
          <w:sz w:val="24"/>
          <w:szCs w:val="24"/>
        </w:rPr>
        <w:t>kaznena kamata za neodržavanje obveznih rezervi</w:t>
      </w:r>
      <w:r>
        <w:rPr>
          <w:rFonts w:ascii="Times New Roman" w:hAnsi="Times New Roman" w:cs="Times New Roman"/>
          <w:sz w:val="24"/>
          <w:szCs w:val="24"/>
        </w:rPr>
        <w:t xml:space="preserve"> – novčana kazna za banku koja ne održava obvezne rezerve na propisanoj razini,“.</w:t>
      </w:r>
    </w:p>
    <w:p w:rsidR="00F46EAD" w:rsidRDefault="004F5A9B">
      <w:pPr>
        <w:spacing w:after="0" w:line="240" w:lineRule="auto"/>
        <w:rPr>
          <w:rFonts w:ascii="Times New Roman" w:hAnsi="Times New Roman" w:cs="Times New Roman"/>
          <w:sz w:val="24"/>
          <w:szCs w:val="24"/>
        </w:rPr>
      </w:pPr>
      <w:r>
        <w:rPr>
          <w:rFonts w:ascii="Times New Roman" w:hAnsi="Times New Roman" w:cs="Times New Roman"/>
          <w:sz w:val="24"/>
          <w:szCs w:val="24"/>
        </w:rPr>
        <w:t>(2) Dodaju se nove točke r) i s) koja glasi:</w:t>
      </w:r>
    </w:p>
    <w:p w:rsidR="00F46EAD" w:rsidRDefault="004F5A9B">
      <w:pPr>
        <w:spacing w:after="0" w:line="240" w:lineRule="auto"/>
        <w:ind w:left="426" w:hanging="284"/>
        <w:jc w:val="both"/>
        <w:rPr>
          <w:rFonts w:ascii="Times New Roman" w:hAnsi="Times New Roman"/>
          <w:noProof/>
          <w:sz w:val="24"/>
          <w:szCs w:val="24"/>
        </w:rPr>
      </w:pP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b/>
          <w:noProof/>
          <w:sz w:val="24"/>
          <w:szCs w:val="24"/>
        </w:rPr>
        <w:t xml:space="preserve">ukupna obvezna rezerva u KM </w:t>
      </w:r>
      <w:r>
        <w:rPr>
          <w:rFonts w:ascii="Times New Roman" w:hAnsi="Times New Roman"/>
          <w:noProof/>
          <w:sz w:val="24"/>
          <w:szCs w:val="24"/>
        </w:rPr>
        <w:t>banke predstavlja zbroj prosječnih dnevnih obveznih rezervi u KM za radne dane tijekom razdoblja održavanja,</w:t>
      </w:r>
    </w:p>
    <w:p w:rsidR="00F46EAD" w:rsidRDefault="004F5A9B">
      <w:pPr>
        <w:spacing w:after="0" w:line="240" w:lineRule="auto"/>
        <w:ind w:left="426" w:hanging="284"/>
        <w:jc w:val="both"/>
        <w:rPr>
          <w:rFonts w:ascii="Times New Roman" w:hAnsi="Times New Roman" w:cs="Times New Roman"/>
          <w:sz w:val="24"/>
          <w:szCs w:val="24"/>
        </w:rPr>
      </w:pPr>
      <w:r>
        <w:rPr>
          <w:rFonts w:ascii="Times New Roman" w:hAnsi="Times New Roman"/>
          <w:noProof/>
          <w:sz w:val="24"/>
          <w:szCs w:val="24"/>
        </w:rPr>
        <w:t>s)</w:t>
      </w:r>
      <w:r>
        <w:rPr>
          <w:rFonts w:ascii="Times New Roman" w:hAnsi="Times New Roman"/>
          <w:noProof/>
          <w:sz w:val="24"/>
          <w:szCs w:val="24"/>
        </w:rPr>
        <w:tab/>
      </w:r>
      <w:r>
        <w:rPr>
          <w:rFonts w:ascii="Times New Roman" w:hAnsi="Times New Roman"/>
          <w:b/>
          <w:noProof/>
          <w:sz w:val="24"/>
          <w:szCs w:val="24"/>
        </w:rPr>
        <w:t>ukupna obvezna rezerva u EUR</w:t>
      </w:r>
      <w:r>
        <w:rPr>
          <w:rFonts w:ascii="Times New Roman" w:hAnsi="Times New Roman"/>
          <w:noProof/>
          <w:sz w:val="24"/>
          <w:szCs w:val="24"/>
        </w:rPr>
        <w:t xml:space="preserve"> banke predstavlja zbroj prosječnih dnevnih obveznih rezervi u EUR za radne dane tijekom razdoblja održavanja.</w:t>
      </w:r>
      <w:r>
        <w:rPr>
          <w:rFonts w:ascii="Times New Roman" w:hAnsi="Times New Roman" w:cs="Times New Roman"/>
          <w:sz w:val="24"/>
          <w:szCs w:val="24"/>
        </w:rPr>
        <w:t>“.</w:t>
      </w:r>
    </w:p>
    <w:p w:rsidR="00F46EAD" w:rsidRDefault="00F46EAD">
      <w:pPr>
        <w:spacing w:after="0" w:line="240" w:lineRule="auto"/>
        <w:rPr>
          <w:rFonts w:ascii="Times New Roman" w:hAnsi="Times New Roman" w:cs="Times New Roman"/>
          <w:sz w:val="24"/>
          <w:szCs w:val="24"/>
        </w:rPr>
      </w:pPr>
    </w:p>
    <w:p w:rsidR="00F46EAD" w:rsidRDefault="004F5A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w:t>
      </w:r>
    </w:p>
    <w:p w:rsidR="00F46EAD" w:rsidRDefault="004F5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Mijenja se sadržaj obrasca „</w:t>
      </w:r>
      <w:proofErr w:type="spellStart"/>
      <w:r>
        <w:rPr>
          <w:rFonts w:ascii="Times New Roman" w:hAnsi="Times New Roman" w:cs="Times New Roman"/>
          <w:sz w:val="24"/>
          <w:szCs w:val="24"/>
        </w:rPr>
        <w:t>Izvješće</w:t>
      </w:r>
      <w:proofErr w:type="spellEnd"/>
      <w:r>
        <w:rPr>
          <w:rFonts w:ascii="Times New Roman" w:hAnsi="Times New Roman" w:cs="Times New Roman"/>
          <w:sz w:val="24"/>
          <w:szCs w:val="24"/>
        </w:rPr>
        <w:t xml:space="preserve"> za obračun obvezne rezerve“ iz priloga Odluke.</w:t>
      </w:r>
    </w:p>
    <w:p w:rsidR="00F46EAD" w:rsidRDefault="004F5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Izmijenjeni obrazac iz stavka (1) ovog članka čini sastavni dio ove odluke i nalazi se u njenom prilogu.</w:t>
      </w:r>
    </w:p>
    <w:p w:rsidR="00F46EAD" w:rsidRDefault="00F46EAD">
      <w:pPr>
        <w:spacing w:after="0" w:line="240" w:lineRule="auto"/>
        <w:rPr>
          <w:rFonts w:ascii="Times New Roman" w:hAnsi="Times New Roman" w:cs="Times New Roman"/>
          <w:sz w:val="24"/>
          <w:szCs w:val="24"/>
        </w:rPr>
      </w:pPr>
    </w:p>
    <w:p w:rsidR="00F46EAD" w:rsidRDefault="004F5A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9.</w:t>
      </w:r>
    </w:p>
    <w:p w:rsidR="00F46EAD" w:rsidRDefault="004F5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Ova odluka stupa na snagu osmog dana od dana objavljivanja u „Službenom glasniku Bosne i Hercegovine“, a primjenjivat će se od 01.10.2023. godine.</w:t>
      </w:r>
    </w:p>
    <w:p w:rsidR="00F46EAD" w:rsidRDefault="004F5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Izuzetno od prethodnog stavka, odredbe članka 4. ove odluke kojima se normira članak 7. stavak (1) </w:t>
      </w:r>
      <w:r>
        <w:rPr>
          <w:rFonts w:ascii="Times New Roman" w:eastAsia="Times New Roman" w:hAnsi="Times New Roman" w:cs="Times New Roman"/>
          <w:noProof/>
          <w:sz w:val="24"/>
          <w:szCs w:val="24"/>
        </w:rPr>
        <w:t>Odluke o utvrđivanju i održavanju obveznih rezervi i utvrđivanju naknade na iznos rezervi</w:t>
      </w:r>
      <w:r>
        <w:rPr>
          <w:rFonts w:ascii="Times New Roman" w:hAnsi="Times New Roman" w:cs="Times New Roman"/>
          <w:sz w:val="24"/>
          <w:szCs w:val="24"/>
        </w:rPr>
        <w:t xml:space="preserve"> (</w:t>
      </w:r>
      <w:r>
        <w:rPr>
          <w:rFonts w:ascii="Times New Roman" w:eastAsia="Times New Roman" w:hAnsi="Times New Roman" w:cs="Times New Roman"/>
          <w:noProof/>
          <w:sz w:val="24"/>
          <w:szCs w:val="24"/>
        </w:rPr>
        <w:t xml:space="preserve">„Službeni glasnik BiH“, br. 70/21, 53/22 i 81/22) </w:t>
      </w:r>
      <w:r>
        <w:rPr>
          <w:rFonts w:ascii="Times New Roman" w:hAnsi="Times New Roman" w:cs="Times New Roman"/>
          <w:sz w:val="24"/>
          <w:szCs w:val="24"/>
        </w:rPr>
        <w:t>se primjenjuju od 1. srpnja 2023. godine i prestaju da važe 30. rujna 2023. godine.</w:t>
      </w:r>
    </w:p>
    <w:p w:rsidR="00F46EAD" w:rsidRDefault="004F5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Ova odluka će se objaviti i u „Službenim novinama Federacije Bosne i Hercegovine“, „Službenom glasniku Republike Srpske“ i „Službenom glasniku Brčko distrikta Bosne i Hercegovine“.</w:t>
      </w:r>
    </w:p>
    <w:p w:rsidR="00F46EAD" w:rsidRDefault="00F46EAD">
      <w:pPr>
        <w:spacing w:after="0" w:line="240" w:lineRule="auto"/>
        <w:rPr>
          <w:rFonts w:ascii="Times New Roman" w:hAnsi="Times New Roman" w:cs="Times New Roman"/>
          <w:sz w:val="24"/>
          <w:szCs w:val="24"/>
        </w:rPr>
      </w:pPr>
    </w:p>
    <w:p w:rsidR="00F46EAD" w:rsidRDefault="00F46EAD">
      <w:pPr>
        <w:spacing w:after="0" w:line="240" w:lineRule="auto"/>
        <w:rPr>
          <w:rFonts w:ascii="Times New Roman" w:hAnsi="Times New Roman" w:cs="Times New Roman"/>
          <w:sz w:val="24"/>
          <w:szCs w:val="24"/>
        </w:rPr>
      </w:pPr>
    </w:p>
    <w:p w:rsidR="00F46EAD" w:rsidRDefault="00F46EAD">
      <w:pPr>
        <w:tabs>
          <w:tab w:val="center" w:pos="7088"/>
        </w:tabs>
        <w:spacing w:after="0" w:line="240" w:lineRule="auto"/>
        <w:rPr>
          <w:rFonts w:ascii="Times New Roman" w:eastAsia="Times New Roman" w:hAnsi="Times New Roman" w:cs="Times New Roman"/>
          <w:bCs/>
          <w:noProof/>
          <w:sz w:val="24"/>
          <w:szCs w:val="24"/>
        </w:rPr>
      </w:pPr>
    </w:p>
    <w:p w:rsidR="00F46EAD" w:rsidRDefault="004F5A9B">
      <w:pPr>
        <w:tabs>
          <w:tab w:val="center" w:pos="7088"/>
        </w:tabs>
        <w:spacing w:after="0" w:line="240" w:lineRule="auto"/>
        <w:rPr>
          <w:rFonts w:ascii="Times New Roman" w:eastAsia="Times New Roman" w:hAnsi="Times New Roman" w:cs="Times New Roman"/>
          <w:b/>
          <w:bCs/>
          <w:noProof/>
          <w:sz w:val="24"/>
          <w:szCs w:val="24"/>
        </w:rPr>
      </w:pPr>
      <w:r>
        <w:rPr>
          <w:rFonts w:ascii="Times New Roman" w:eastAsia="Times New Roman" w:hAnsi="Times New Roman" w:cs="Times New Roman"/>
          <w:bCs/>
          <w:noProof/>
          <w:sz w:val="24"/>
          <w:szCs w:val="24"/>
        </w:rPr>
        <w:tab/>
      </w:r>
      <w:r>
        <w:rPr>
          <w:rFonts w:ascii="Times New Roman" w:eastAsia="Times New Roman" w:hAnsi="Times New Roman" w:cs="Times New Roman"/>
          <w:b/>
          <w:bCs/>
          <w:noProof/>
          <w:sz w:val="24"/>
          <w:szCs w:val="24"/>
        </w:rPr>
        <w:t>Predsjedatelj</w:t>
      </w:r>
    </w:p>
    <w:p w:rsidR="00F46EAD" w:rsidRDefault="004F5A9B">
      <w:pPr>
        <w:tabs>
          <w:tab w:val="center" w:pos="7088"/>
        </w:tabs>
        <w:spacing w:after="0" w:line="240" w:lineRule="auto"/>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ab/>
        <w:t>Upravnog vijeća Centralne banke</w:t>
      </w:r>
    </w:p>
    <w:p w:rsidR="00F46EAD" w:rsidRDefault="004F5A9B">
      <w:pPr>
        <w:tabs>
          <w:tab w:val="center" w:pos="7088"/>
        </w:tabs>
        <w:spacing w:after="0" w:line="240" w:lineRule="auto"/>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Broj: UV-117-02-</w:t>
      </w:r>
      <w:r w:rsidR="005D6DE7">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w:t>
      </w:r>
      <w:r w:rsidR="005D6DE7">
        <w:rPr>
          <w:rFonts w:ascii="Times New Roman" w:eastAsia="Times New Roman" w:hAnsi="Times New Roman" w:cs="Times New Roman"/>
          <w:noProof/>
          <w:sz w:val="24"/>
          <w:szCs w:val="24"/>
        </w:rPr>
        <w:t>1152-8</w:t>
      </w:r>
      <w:bookmarkStart w:id="1" w:name="_GoBack"/>
      <w:bookmarkEnd w:id="1"/>
      <w:r>
        <w:rPr>
          <w:rFonts w:ascii="Times New Roman" w:eastAsia="Times New Roman" w:hAnsi="Times New Roman" w:cs="Times New Roman"/>
          <w:noProof/>
          <w:sz w:val="24"/>
          <w:szCs w:val="24"/>
        </w:rPr>
        <w:t>/23</w:t>
      </w:r>
      <w:r>
        <w:rPr>
          <w:rFonts w:ascii="Times New Roman" w:eastAsia="Times New Roman" w:hAnsi="Times New Roman" w:cs="Times New Roman"/>
          <w:noProof/>
          <w:sz w:val="24"/>
          <w:szCs w:val="24"/>
        </w:rPr>
        <w:tab/>
      </w:r>
      <w:r>
        <w:rPr>
          <w:rFonts w:ascii="Times New Roman" w:eastAsia="Times New Roman" w:hAnsi="Times New Roman" w:cs="Times New Roman"/>
          <w:b/>
          <w:bCs/>
          <w:noProof/>
          <w:sz w:val="24"/>
          <w:szCs w:val="24"/>
        </w:rPr>
        <w:t>Bosne i Hercegovine</w:t>
      </w:r>
    </w:p>
    <w:p w:rsidR="00F46EAD" w:rsidRDefault="004F5A9B">
      <w:pPr>
        <w:tabs>
          <w:tab w:val="center" w:pos="7088"/>
        </w:tabs>
        <w:spacing w:after="0" w:line="240" w:lineRule="auto"/>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Sarajevo, 31.05.2023. godine</w:t>
      </w:r>
    </w:p>
    <w:p w:rsidR="00F46EAD" w:rsidRDefault="004F5A9B">
      <w:pPr>
        <w:tabs>
          <w:tab w:val="center" w:pos="7088"/>
        </w:tabs>
        <w:spacing w:after="0" w:line="240" w:lineRule="auto"/>
        <w:rPr>
          <w:rFonts w:ascii="Times New Roman" w:eastAsia="Times New Roman" w:hAnsi="Times New Roman" w:cs="Times New Roman"/>
          <w:b/>
          <w:bCs/>
          <w:noProof/>
          <w:sz w:val="24"/>
          <w:szCs w:val="24"/>
        </w:rPr>
      </w:pPr>
      <w:r>
        <w:rPr>
          <w:rFonts w:ascii="Times New Roman" w:eastAsia="Times New Roman" w:hAnsi="Times New Roman" w:cs="Times New Roman"/>
          <w:bCs/>
          <w:noProof/>
          <w:sz w:val="24"/>
          <w:szCs w:val="24"/>
        </w:rPr>
        <w:tab/>
      </w:r>
      <w:r>
        <w:rPr>
          <w:rFonts w:ascii="Times New Roman" w:eastAsia="Times New Roman" w:hAnsi="Times New Roman" w:cs="Times New Roman"/>
          <w:b/>
          <w:noProof/>
          <w:sz w:val="24"/>
          <w:szCs w:val="24"/>
        </w:rPr>
        <w:t>GUVERNER</w:t>
      </w:r>
    </w:p>
    <w:p w:rsidR="00F46EAD" w:rsidRDefault="004F5A9B">
      <w:pPr>
        <w:tabs>
          <w:tab w:val="center" w:pos="7088"/>
        </w:tabs>
        <w:spacing w:after="0" w:line="240" w:lineRule="auto"/>
        <w:rPr>
          <w:rFonts w:ascii="Times New Roman" w:eastAsia="Times New Roman" w:hAnsi="Times New Roman" w:cs="Times New Roman"/>
          <w:b/>
          <w:bCs/>
          <w:noProof/>
          <w:sz w:val="24"/>
          <w:szCs w:val="24"/>
        </w:rPr>
      </w:pPr>
      <w:r>
        <w:rPr>
          <w:rFonts w:ascii="Times New Roman" w:eastAsia="Times New Roman" w:hAnsi="Times New Roman" w:cs="Times New Roman"/>
          <w:bCs/>
          <w:noProof/>
          <w:sz w:val="24"/>
          <w:szCs w:val="24"/>
        </w:rPr>
        <w:tab/>
      </w:r>
      <w:r>
        <w:rPr>
          <w:rFonts w:ascii="Times New Roman" w:eastAsia="Times New Roman" w:hAnsi="Times New Roman" w:cs="Times New Roman"/>
          <w:b/>
          <w:bCs/>
          <w:noProof/>
          <w:sz w:val="24"/>
          <w:szCs w:val="24"/>
        </w:rPr>
        <w:t>dr. Senad Softić</w:t>
      </w:r>
    </w:p>
    <w:p w:rsidR="00F46EAD" w:rsidRDefault="00F46EAD">
      <w:pPr>
        <w:spacing w:after="0" w:line="240" w:lineRule="auto"/>
        <w:rPr>
          <w:rFonts w:ascii="Times New Roman" w:hAnsi="Times New Roman" w:cs="Times New Roman"/>
          <w:sz w:val="24"/>
          <w:szCs w:val="24"/>
        </w:rPr>
      </w:pPr>
    </w:p>
    <w:p w:rsidR="00F46EAD" w:rsidRDefault="004F5A9B">
      <w:pPr>
        <w:rPr>
          <w:rFonts w:ascii="Times New Roman" w:hAnsi="Times New Roman" w:cs="Times New Roman"/>
          <w:sz w:val="24"/>
          <w:szCs w:val="24"/>
        </w:rPr>
      </w:pPr>
      <w:r>
        <w:rPr>
          <w:rFonts w:ascii="Times New Roman" w:hAnsi="Times New Roman" w:cs="Times New Roman"/>
          <w:sz w:val="24"/>
          <w:szCs w:val="24"/>
        </w:rPr>
        <w:br w:type="page"/>
      </w:r>
    </w:p>
    <w:tbl>
      <w:tblPr>
        <w:tblStyle w:val="TableGrid11"/>
        <w:tblW w:w="10779" w:type="dxa"/>
        <w:jc w:val="center"/>
        <w:tblLook w:val="04A0" w:firstRow="1" w:lastRow="0" w:firstColumn="1" w:lastColumn="0" w:noHBand="0" w:noVBand="1"/>
      </w:tblPr>
      <w:tblGrid>
        <w:gridCol w:w="5245"/>
        <w:gridCol w:w="1559"/>
        <w:gridCol w:w="1417"/>
        <w:gridCol w:w="1271"/>
        <w:gridCol w:w="1276"/>
        <w:gridCol w:w="11"/>
      </w:tblGrid>
      <w:tr w:rsidR="00F46EAD">
        <w:trPr>
          <w:trHeight w:val="20"/>
          <w:jc w:val="center"/>
        </w:trPr>
        <w:tc>
          <w:tcPr>
            <w:tcW w:w="10779" w:type="dxa"/>
            <w:gridSpan w:val="6"/>
            <w:tcBorders>
              <w:top w:val="nil"/>
              <w:left w:val="nil"/>
              <w:bottom w:val="nil"/>
              <w:right w:val="nil"/>
            </w:tcBorders>
            <w:noWrap/>
            <w:hideMark/>
          </w:tcPr>
          <w:p w:rsidR="00F46EAD" w:rsidRDefault="004F5A9B">
            <w:pPr>
              <w:jc w:val="both"/>
              <w:rPr>
                <w:rFonts w:ascii="Times New Roman" w:hAnsi="Times New Roman" w:cs="Times New Roman"/>
                <w:b/>
                <w:bCs/>
                <w:noProof/>
                <w:sz w:val="20"/>
                <w:szCs w:val="20"/>
              </w:rPr>
            </w:pPr>
            <w:bookmarkStart w:id="2" w:name="RANGE!A1:E70"/>
            <w:r>
              <w:rPr>
                <w:rFonts w:ascii="Times New Roman" w:hAnsi="Times New Roman" w:cs="Times New Roman"/>
                <w:b/>
                <w:bCs/>
                <w:noProof/>
                <w:sz w:val="20"/>
                <w:szCs w:val="20"/>
              </w:rPr>
              <w:lastRenderedPageBreak/>
              <w:t>NAZIV BANKE</w:t>
            </w:r>
            <w:bookmarkEnd w:id="2"/>
          </w:p>
          <w:p w:rsidR="00F46EAD" w:rsidRDefault="00F46EAD">
            <w:pPr>
              <w:jc w:val="both"/>
              <w:rPr>
                <w:rFonts w:ascii="Times New Roman" w:hAnsi="Times New Roman" w:cs="Times New Roman"/>
                <w:b/>
                <w:bCs/>
                <w:noProof/>
                <w:sz w:val="20"/>
                <w:szCs w:val="20"/>
              </w:rPr>
            </w:pPr>
          </w:p>
          <w:p w:rsidR="00F46EAD" w:rsidRDefault="00F46EAD">
            <w:pPr>
              <w:jc w:val="both"/>
              <w:rPr>
                <w:rFonts w:ascii="Times New Roman" w:hAnsi="Times New Roman" w:cs="Times New Roman"/>
                <w:b/>
                <w:bCs/>
                <w:noProof/>
                <w:sz w:val="20"/>
                <w:szCs w:val="20"/>
              </w:rPr>
            </w:pPr>
          </w:p>
          <w:p w:rsidR="00F46EAD" w:rsidRDefault="00F46EAD">
            <w:pPr>
              <w:jc w:val="both"/>
              <w:rPr>
                <w:rFonts w:ascii="Times New Roman" w:hAnsi="Times New Roman" w:cs="Times New Roman"/>
                <w:noProof/>
                <w:sz w:val="20"/>
                <w:szCs w:val="20"/>
              </w:rPr>
            </w:pPr>
          </w:p>
        </w:tc>
      </w:tr>
      <w:tr w:rsidR="00F46EAD">
        <w:trPr>
          <w:trHeight w:val="20"/>
          <w:jc w:val="center"/>
        </w:trPr>
        <w:tc>
          <w:tcPr>
            <w:tcW w:w="10779" w:type="dxa"/>
            <w:gridSpan w:val="6"/>
            <w:tcBorders>
              <w:top w:val="nil"/>
              <w:left w:val="nil"/>
              <w:bottom w:val="nil"/>
              <w:right w:val="nil"/>
            </w:tcBorders>
            <w:vAlign w:val="center"/>
            <w:hideMark/>
          </w:tcPr>
          <w:p w:rsidR="00F46EAD" w:rsidRDefault="004F5A9B">
            <w:pPr>
              <w:jc w:val="center"/>
              <w:rPr>
                <w:rFonts w:ascii="Times New Roman" w:hAnsi="Times New Roman" w:cs="Times New Roman"/>
                <w:b/>
                <w:bCs/>
                <w:noProof/>
                <w:sz w:val="20"/>
                <w:szCs w:val="20"/>
              </w:rPr>
            </w:pPr>
            <w:r>
              <w:rPr>
                <w:rFonts w:ascii="Times New Roman" w:hAnsi="Times New Roman" w:cs="Times New Roman"/>
                <w:b/>
                <w:bCs/>
                <w:noProof/>
                <w:sz w:val="20"/>
                <w:szCs w:val="20"/>
              </w:rPr>
              <w:t>IZVJEŠĆE ZA OBRAČUN OBVEZNE REZERVE</w:t>
            </w:r>
          </w:p>
        </w:tc>
      </w:tr>
      <w:tr w:rsidR="00F46EAD">
        <w:trPr>
          <w:trHeight w:val="20"/>
          <w:jc w:val="center"/>
        </w:trPr>
        <w:tc>
          <w:tcPr>
            <w:tcW w:w="10779" w:type="dxa"/>
            <w:gridSpan w:val="6"/>
            <w:tcBorders>
              <w:top w:val="nil"/>
              <w:left w:val="nil"/>
              <w:bottom w:val="nil"/>
              <w:right w:val="nil"/>
            </w:tcBorders>
            <w:vAlign w:val="center"/>
            <w:hideMark/>
          </w:tcPr>
          <w:p w:rsidR="00F46EAD" w:rsidRDefault="004F5A9B">
            <w:pPr>
              <w:jc w:val="center"/>
              <w:rPr>
                <w:rFonts w:ascii="Times New Roman" w:hAnsi="Times New Roman" w:cs="Times New Roman"/>
                <w:noProof/>
                <w:sz w:val="20"/>
                <w:szCs w:val="20"/>
              </w:rPr>
            </w:pPr>
            <w:r>
              <w:rPr>
                <w:rFonts w:ascii="Times New Roman" w:hAnsi="Times New Roman" w:cs="Times New Roman"/>
                <w:noProof/>
                <w:sz w:val="20"/>
                <w:szCs w:val="20"/>
              </w:rPr>
              <w:t>za razdoblje od ................. do .................</w:t>
            </w:r>
          </w:p>
          <w:p w:rsidR="00F46EAD" w:rsidRDefault="00F46EAD">
            <w:pPr>
              <w:jc w:val="center"/>
              <w:rPr>
                <w:rFonts w:ascii="Times New Roman" w:hAnsi="Times New Roman" w:cs="Times New Roman"/>
                <w:noProof/>
                <w:sz w:val="20"/>
                <w:szCs w:val="20"/>
              </w:rPr>
            </w:pPr>
          </w:p>
          <w:p w:rsidR="00F46EAD" w:rsidRDefault="00F46EAD">
            <w:pPr>
              <w:jc w:val="center"/>
              <w:rPr>
                <w:rFonts w:ascii="Times New Roman" w:hAnsi="Times New Roman" w:cs="Times New Roman"/>
                <w:noProof/>
                <w:sz w:val="20"/>
                <w:szCs w:val="20"/>
              </w:rPr>
            </w:pPr>
          </w:p>
        </w:tc>
      </w:tr>
      <w:tr w:rsidR="00F46EAD">
        <w:trPr>
          <w:trHeight w:val="317"/>
          <w:jc w:val="center"/>
        </w:trPr>
        <w:tc>
          <w:tcPr>
            <w:tcW w:w="10779" w:type="dxa"/>
            <w:gridSpan w:val="6"/>
            <w:tcBorders>
              <w:top w:val="nil"/>
              <w:left w:val="nil"/>
              <w:bottom w:val="single" w:sz="4" w:space="0" w:color="auto"/>
              <w:right w:val="nil"/>
            </w:tcBorders>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Broj radnih dana u razdoblju .................</w:t>
            </w:r>
          </w:p>
        </w:tc>
      </w:tr>
      <w:tr w:rsidR="00F46EAD">
        <w:trPr>
          <w:gridAfter w:val="1"/>
          <w:wAfter w:w="11" w:type="dxa"/>
          <w:jc w:val="center"/>
        </w:trPr>
        <w:tc>
          <w:tcPr>
            <w:tcW w:w="5245" w:type="dxa"/>
            <w:tcBorders>
              <w:top w:val="single" w:sz="4" w:space="0" w:color="auto"/>
            </w:tcBorders>
            <w:vAlign w:val="center"/>
            <w:hideMark/>
          </w:tcPr>
          <w:p w:rsidR="00F46EAD" w:rsidRDefault="004F5A9B">
            <w:pPr>
              <w:jc w:val="center"/>
              <w:rPr>
                <w:rFonts w:ascii="Times New Roman" w:hAnsi="Times New Roman" w:cs="Times New Roman"/>
                <w:b/>
                <w:bCs/>
                <w:noProof/>
                <w:sz w:val="20"/>
                <w:szCs w:val="20"/>
              </w:rPr>
            </w:pPr>
            <w:r>
              <w:rPr>
                <w:rFonts w:ascii="Times New Roman" w:hAnsi="Times New Roman" w:cs="Times New Roman"/>
                <w:b/>
                <w:bCs/>
                <w:noProof/>
                <w:sz w:val="20"/>
                <w:szCs w:val="20"/>
              </w:rPr>
              <w:t>OPIS POZICIJA</w:t>
            </w:r>
          </w:p>
        </w:tc>
        <w:tc>
          <w:tcPr>
            <w:tcW w:w="1559" w:type="dxa"/>
            <w:tcBorders>
              <w:top w:val="single" w:sz="4" w:space="0" w:color="auto"/>
              <w:bottom w:val="single" w:sz="4" w:space="0" w:color="auto"/>
            </w:tcBorders>
            <w:vAlign w:val="center"/>
            <w:hideMark/>
          </w:tcPr>
          <w:p w:rsidR="00F46EAD" w:rsidRDefault="004F5A9B">
            <w:pPr>
              <w:jc w:val="center"/>
              <w:rPr>
                <w:rFonts w:ascii="Times New Roman" w:hAnsi="Times New Roman" w:cs="Times New Roman"/>
                <w:noProof/>
                <w:sz w:val="20"/>
                <w:szCs w:val="20"/>
              </w:rPr>
            </w:pPr>
            <w:r>
              <w:rPr>
                <w:rFonts w:ascii="Times New Roman" w:hAnsi="Times New Roman" w:cs="Times New Roman"/>
                <w:noProof/>
                <w:sz w:val="20"/>
                <w:szCs w:val="20"/>
              </w:rPr>
              <w:t>Prosječno stanje sredstava u KM (po rezidualnom roku dospijeća)</w:t>
            </w:r>
          </w:p>
        </w:tc>
        <w:tc>
          <w:tcPr>
            <w:tcW w:w="3964" w:type="dxa"/>
            <w:gridSpan w:val="3"/>
            <w:tcBorders>
              <w:top w:val="single" w:sz="4" w:space="0" w:color="auto"/>
              <w:bottom w:val="single" w:sz="4" w:space="0" w:color="auto"/>
            </w:tcBorders>
            <w:vAlign w:val="center"/>
          </w:tcPr>
          <w:p w:rsidR="00F46EAD" w:rsidRDefault="004F5A9B">
            <w:pPr>
              <w:jc w:val="center"/>
              <w:rPr>
                <w:rFonts w:ascii="Times New Roman" w:hAnsi="Times New Roman" w:cs="Times New Roman"/>
                <w:noProof/>
                <w:sz w:val="20"/>
                <w:szCs w:val="20"/>
              </w:rPr>
            </w:pPr>
            <w:r>
              <w:rPr>
                <w:rFonts w:ascii="Times New Roman" w:hAnsi="Times New Roman" w:cs="Times New Roman"/>
                <w:noProof/>
                <w:sz w:val="20"/>
                <w:szCs w:val="20"/>
              </w:rPr>
              <w:t xml:space="preserve">Prosječno stanje sredstava u EUR </w:t>
            </w:r>
          </w:p>
          <w:p w:rsidR="00F46EAD" w:rsidRDefault="004F5A9B">
            <w:pPr>
              <w:jc w:val="center"/>
              <w:rPr>
                <w:rFonts w:ascii="Times New Roman" w:hAnsi="Times New Roman" w:cs="Times New Roman"/>
                <w:noProof/>
                <w:sz w:val="20"/>
                <w:szCs w:val="20"/>
              </w:rPr>
            </w:pPr>
            <w:r>
              <w:rPr>
                <w:rFonts w:ascii="Times New Roman" w:hAnsi="Times New Roman" w:cs="Times New Roman"/>
                <w:noProof/>
                <w:sz w:val="20"/>
                <w:szCs w:val="20"/>
              </w:rPr>
              <w:t>(po rezidualnom roku dospijeća)</w:t>
            </w:r>
          </w:p>
        </w:tc>
      </w:tr>
      <w:tr w:rsidR="00F46EAD">
        <w:trPr>
          <w:gridAfter w:val="1"/>
          <w:wAfter w:w="11" w:type="dxa"/>
          <w:trHeight w:val="20"/>
          <w:jc w:val="center"/>
        </w:trPr>
        <w:tc>
          <w:tcPr>
            <w:tcW w:w="5245" w:type="dxa"/>
            <w:vMerge w:val="restart"/>
            <w:vAlign w:val="center"/>
            <w:hideMark/>
          </w:tcPr>
          <w:p w:rsidR="00F46EAD" w:rsidRDefault="004F5A9B">
            <w:pPr>
              <w:jc w:val="center"/>
              <w:rPr>
                <w:rFonts w:ascii="Times New Roman" w:hAnsi="Times New Roman" w:cs="Times New Roman"/>
                <w:noProof/>
                <w:sz w:val="20"/>
                <w:szCs w:val="20"/>
              </w:rPr>
            </w:pPr>
            <w:r>
              <w:rPr>
                <w:rFonts w:ascii="Times New Roman" w:hAnsi="Times New Roman" w:cs="Times New Roman"/>
                <w:b/>
                <w:bCs/>
                <w:noProof/>
                <w:sz w:val="20"/>
                <w:szCs w:val="20"/>
              </w:rPr>
              <w:t>OSNOVICA ZA OBRAČUN OBVEZNE REZERVE</w:t>
            </w:r>
          </w:p>
        </w:tc>
        <w:tc>
          <w:tcPr>
            <w:tcW w:w="1559" w:type="dxa"/>
            <w:vMerge w:val="restart"/>
            <w:vAlign w:val="center"/>
            <w:hideMark/>
          </w:tcPr>
          <w:p w:rsidR="00F46EAD" w:rsidRDefault="004F5A9B">
            <w:pPr>
              <w:jc w:val="center"/>
              <w:rPr>
                <w:rFonts w:ascii="Times New Roman" w:hAnsi="Times New Roman" w:cs="Times New Roman"/>
                <w:noProof/>
                <w:sz w:val="20"/>
                <w:szCs w:val="20"/>
              </w:rPr>
            </w:pPr>
            <w:r>
              <w:rPr>
                <w:rFonts w:ascii="Times New Roman" w:hAnsi="Times New Roman" w:cs="Times New Roman"/>
                <w:noProof/>
                <w:sz w:val="20"/>
                <w:szCs w:val="20"/>
              </w:rPr>
              <w:t>KM</w:t>
            </w:r>
          </w:p>
        </w:tc>
        <w:tc>
          <w:tcPr>
            <w:tcW w:w="3964" w:type="dxa"/>
            <w:gridSpan w:val="3"/>
            <w:vAlign w:val="center"/>
            <w:hideMark/>
          </w:tcPr>
          <w:p w:rsidR="00F46EAD" w:rsidRDefault="004F5A9B">
            <w:pPr>
              <w:jc w:val="center"/>
              <w:rPr>
                <w:rFonts w:ascii="Times New Roman" w:hAnsi="Times New Roman" w:cs="Times New Roman"/>
                <w:noProof/>
                <w:sz w:val="20"/>
                <w:szCs w:val="20"/>
              </w:rPr>
            </w:pPr>
            <w:r>
              <w:rPr>
                <w:rFonts w:ascii="Times New Roman" w:hAnsi="Times New Roman" w:cs="Times New Roman"/>
                <w:noProof/>
                <w:sz w:val="20"/>
                <w:szCs w:val="20"/>
              </w:rPr>
              <w:t>Ostale valute</w:t>
            </w:r>
          </w:p>
        </w:tc>
      </w:tr>
      <w:tr w:rsidR="00F46EAD">
        <w:trPr>
          <w:gridAfter w:val="1"/>
          <w:wAfter w:w="11" w:type="dxa"/>
          <w:trHeight w:val="20"/>
          <w:jc w:val="center"/>
        </w:trPr>
        <w:tc>
          <w:tcPr>
            <w:tcW w:w="5245" w:type="dxa"/>
            <w:vMerge/>
            <w:vAlign w:val="center"/>
            <w:hideMark/>
          </w:tcPr>
          <w:p w:rsidR="00F46EAD" w:rsidRDefault="00F46EAD">
            <w:pPr>
              <w:jc w:val="center"/>
              <w:rPr>
                <w:rFonts w:ascii="Times New Roman" w:hAnsi="Times New Roman" w:cs="Times New Roman"/>
                <w:b/>
                <w:bCs/>
                <w:noProof/>
                <w:sz w:val="20"/>
                <w:szCs w:val="20"/>
              </w:rPr>
            </w:pPr>
          </w:p>
        </w:tc>
        <w:tc>
          <w:tcPr>
            <w:tcW w:w="1559" w:type="dxa"/>
            <w:vMerge/>
            <w:noWrap/>
            <w:vAlign w:val="center"/>
            <w:hideMark/>
          </w:tcPr>
          <w:p w:rsidR="00F46EAD" w:rsidRDefault="00F46EAD">
            <w:pPr>
              <w:jc w:val="center"/>
              <w:rPr>
                <w:rFonts w:ascii="Times New Roman" w:hAnsi="Times New Roman" w:cs="Times New Roman"/>
                <w:noProof/>
                <w:sz w:val="20"/>
                <w:szCs w:val="20"/>
              </w:rPr>
            </w:pPr>
          </w:p>
        </w:tc>
        <w:tc>
          <w:tcPr>
            <w:tcW w:w="1417" w:type="dxa"/>
            <w:vAlign w:val="center"/>
            <w:hideMark/>
          </w:tcPr>
          <w:p w:rsidR="00F46EAD" w:rsidRDefault="004F5A9B">
            <w:pPr>
              <w:jc w:val="center"/>
              <w:rPr>
                <w:rFonts w:ascii="Times New Roman" w:hAnsi="Times New Roman" w:cs="Times New Roman"/>
                <w:noProof/>
                <w:sz w:val="19"/>
                <w:szCs w:val="19"/>
              </w:rPr>
            </w:pPr>
            <w:r>
              <w:rPr>
                <w:rFonts w:ascii="Times New Roman" w:hAnsi="Times New Roman" w:cs="Times New Roman"/>
                <w:noProof/>
                <w:sz w:val="19"/>
                <w:szCs w:val="19"/>
              </w:rPr>
              <w:t>KM s valutnom klauzulom izraženo u EUR</w:t>
            </w:r>
          </w:p>
        </w:tc>
        <w:tc>
          <w:tcPr>
            <w:tcW w:w="1271" w:type="dxa"/>
            <w:vAlign w:val="center"/>
            <w:hideMark/>
          </w:tcPr>
          <w:p w:rsidR="00F46EAD" w:rsidRDefault="004F5A9B">
            <w:pPr>
              <w:jc w:val="center"/>
              <w:rPr>
                <w:rFonts w:ascii="Times New Roman" w:hAnsi="Times New Roman" w:cs="Times New Roman"/>
                <w:noProof/>
                <w:sz w:val="20"/>
                <w:szCs w:val="20"/>
              </w:rPr>
            </w:pPr>
            <w:r>
              <w:rPr>
                <w:rFonts w:ascii="Times New Roman" w:hAnsi="Times New Roman" w:cs="Times New Roman"/>
                <w:noProof/>
                <w:sz w:val="20"/>
                <w:szCs w:val="20"/>
              </w:rPr>
              <w:t>Strane valute izraženo u EUR</w:t>
            </w:r>
          </w:p>
        </w:tc>
        <w:tc>
          <w:tcPr>
            <w:tcW w:w="1276" w:type="dxa"/>
            <w:vAlign w:val="center"/>
            <w:hideMark/>
          </w:tcPr>
          <w:p w:rsidR="00F46EAD" w:rsidRDefault="004F5A9B">
            <w:pPr>
              <w:jc w:val="center"/>
              <w:rPr>
                <w:rFonts w:ascii="Times New Roman" w:hAnsi="Times New Roman" w:cs="Times New Roman"/>
                <w:noProof/>
                <w:sz w:val="20"/>
                <w:szCs w:val="20"/>
              </w:rPr>
            </w:pPr>
            <w:r>
              <w:rPr>
                <w:rFonts w:ascii="Times New Roman" w:hAnsi="Times New Roman" w:cs="Times New Roman"/>
                <w:noProof/>
                <w:sz w:val="20"/>
                <w:szCs w:val="20"/>
              </w:rPr>
              <w:t>Ostale valute ukupno u EUR</w:t>
            </w:r>
          </w:p>
        </w:tc>
      </w:tr>
      <w:tr w:rsidR="00F46EAD">
        <w:trPr>
          <w:gridAfter w:val="1"/>
          <w:wAfter w:w="11" w:type="dxa"/>
          <w:trHeight w:val="20"/>
          <w:jc w:val="center"/>
        </w:trPr>
        <w:tc>
          <w:tcPr>
            <w:tcW w:w="5245" w:type="dxa"/>
            <w:vAlign w:val="center"/>
          </w:tcPr>
          <w:p w:rsidR="00F46EAD" w:rsidRDefault="00F46EAD">
            <w:pPr>
              <w:jc w:val="center"/>
              <w:rPr>
                <w:rFonts w:ascii="Times New Roman" w:hAnsi="Times New Roman" w:cs="Times New Roman"/>
                <w:b/>
                <w:bCs/>
                <w:noProof/>
                <w:sz w:val="16"/>
                <w:szCs w:val="16"/>
              </w:rPr>
            </w:pPr>
          </w:p>
        </w:tc>
        <w:tc>
          <w:tcPr>
            <w:tcW w:w="1559" w:type="dxa"/>
            <w:vAlign w:val="center"/>
          </w:tcPr>
          <w:p w:rsidR="00F46EAD" w:rsidRDefault="004F5A9B">
            <w:pPr>
              <w:jc w:val="center"/>
              <w:rPr>
                <w:rFonts w:ascii="Times New Roman" w:hAnsi="Times New Roman" w:cs="Times New Roman"/>
                <w:noProof/>
                <w:sz w:val="16"/>
                <w:szCs w:val="16"/>
              </w:rPr>
            </w:pPr>
            <w:r>
              <w:rPr>
                <w:rFonts w:ascii="Times New Roman" w:hAnsi="Times New Roman" w:cs="Times New Roman"/>
                <w:noProof/>
                <w:sz w:val="16"/>
                <w:szCs w:val="16"/>
              </w:rPr>
              <w:t>1</w:t>
            </w:r>
          </w:p>
        </w:tc>
        <w:tc>
          <w:tcPr>
            <w:tcW w:w="1417" w:type="dxa"/>
            <w:vAlign w:val="center"/>
          </w:tcPr>
          <w:p w:rsidR="00F46EAD" w:rsidRDefault="004F5A9B">
            <w:pPr>
              <w:jc w:val="center"/>
              <w:rPr>
                <w:rFonts w:ascii="Times New Roman" w:hAnsi="Times New Roman" w:cs="Times New Roman"/>
                <w:noProof/>
                <w:sz w:val="16"/>
                <w:szCs w:val="16"/>
              </w:rPr>
            </w:pPr>
            <w:r>
              <w:rPr>
                <w:rFonts w:ascii="Times New Roman" w:hAnsi="Times New Roman" w:cs="Times New Roman"/>
                <w:noProof/>
                <w:sz w:val="16"/>
                <w:szCs w:val="16"/>
              </w:rPr>
              <w:t>2</w:t>
            </w:r>
          </w:p>
        </w:tc>
        <w:tc>
          <w:tcPr>
            <w:tcW w:w="1271" w:type="dxa"/>
            <w:vAlign w:val="center"/>
          </w:tcPr>
          <w:p w:rsidR="00F46EAD" w:rsidRDefault="004F5A9B">
            <w:pPr>
              <w:jc w:val="center"/>
              <w:rPr>
                <w:rFonts w:ascii="Times New Roman" w:hAnsi="Times New Roman" w:cs="Times New Roman"/>
                <w:noProof/>
                <w:sz w:val="16"/>
                <w:szCs w:val="16"/>
              </w:rPr>
            </w:pPr>
            <w:r>
              <w:rPr>
                <w:rFonts w:ascii="Times New Roman" w:hAnsi="Times New Roman" w:cs="Times New Roman"/>
                <w:noProof/>
                <w:sz w:val="16"/>
                <w:szCs w:val="16"/>
              </w:rPr>
              <w:t>3</w:t>
            </w:r>
          </w:p>
        </w:tc>
        <w:tc>
          <w:tcPr>
            <w:tcW w:w="1276" w:type="dxa"/>
            <w:vAlign w:val="center"/>
          </w:tcPr>
          <w:p w:rsidR="00F46EAD" w:rsidRDefault="004F5A9B">
            <w:pPr>
              <w:jc w:val="center"/>
              <w:rPr>
                <w:rFonts w:ascii="Times New Roman" w:hAnsi="Times New Roman" w:cs="Times New Roman"/>
                <w:noProof/>
                <w:sz w:val="16"/>
                <w:szCs w:val="16"/>
              </w:rPr>
            </w:pPr>
            <w:r>
              <w:rPr>
                <w:rFonts w:ascii="Times New Roman" w:hAnsi="Times New Roman" w:cs="Times New Roman"/>
                <w:noProof/>
                <w:sz w:val="16"/>
                <w:szCs w:val="16"/>
              </w:rPr>
              <w:t>4=2+3</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1 - Depoziti i pozajmljena sredstva od nerezidenata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center"/>
              <w:rPr>
                <w:rFonts w:ascii="Times New Roman" w:hAnsi="Times New Roman" w:cs="Times New Roman"/>
                <w:i/>
                <w:iCs/>
                <w:noProof/>
                <w:sz w:val="20"/>
                <w:szCs w:val="20"/>
              </w:rPr>
            </w:pPr>
            <w:r>
              <w:rPr>
                <w:rFonts w:ascii="Times New Roman" w:hAnsi="Times New Roman" w:cs="Times New Roman"/>
                <w:i/>
                <w:iCs/>
                <w:noProof/>
                <w:sz w:val="20"/>
                <w:szCs w:val="20"/>
              </w:rPr>
              <w:t>Do jedne godine</w:t>
            </w:r>
          </w:p>
        </w:tc>
        <w:tc>
          <w:tcPr>
            <w:tcW w:w="1559" w:type="dxa"/>
            <w:vAlign w:val="center"/>
            <w:hideMark/>
          </w:tcPr>
          <w:p w:rsidR="00F46EAD" w:rsidRDefault="004F5A9B">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417" w:type="dxa"/>
            <w:vAlign w:val="center"/>
            <w:hideMark/>
          </w:tcPr>
          <w:p w:rsidR="00F46EAD" w:rsidRDefault="004F5A9B">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271" w:type="dxa"/>
            <w:vAlign w:val="center"/>
            <w:hideMark/>
          </w:tcPr>
          <w:p w:rsidR="00F46EAD" w:rsidRDefault="004F5A9B">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276" w:type="dxa"/>
            <w:vAlign w:val="center"/>
            <w:hideMark/>
          </w:tcPr>
          <w:p w:rsidR="00F46EAD" w:rsidRDefault="004F5A9B">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Korespondentski računi nerezidentnih banaka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Kratkoročni depoziti nerezidenata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Kratkoročni krediti od nerezidenata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tcPr>
          <w:p w:rsidR="00F46EAD" w:rsidRDefault="004F5A9B">
            <w:pPr>
              <w:rPr>
                <w:rFonts w:ascii="Times New Roman" w:hAnsi="Times New Roman" w:cs="Times New Roman"/>
                <w:noProof/>
                <w:sz w:val="20"/>
                <w:szCs w:val="20"/>
              </w:rPr>
            </w:pPr>
            <w:r>
              <w:rPr>
                <w:rFonts w:ascii="Times New Roman" w:hAnsi="Times New Roman" w:cs="Times New Roman"/>
                <w:noProof/>
                <w:sz w:val="20"/>
                <w:szCs w:val="20"/>
              </w:rPr>
              <w:t>Kratkoročni vrijednosni papiri kod nerezidenata</w:t>
            </w:r>
          </w:p>
        </w:tc>
        <w:tc>
          <w:tcPr>
            <w:tcW w:w="1559" w:type="dxa"/>
            <w:vAlign w:val="center"/>
          </w:tcPr>
          <w:p w:rsidR="00F46EAD" w:rsidRDefault="00F46EAD">
            <w:pPr>
              <w:jc w:val="both"/>
              <w:rPr>
                <w:rFonts w:ascii="Times New Roman" w:hAnsi="Times New Roman" w:cs="Times New Roman"/>
                <w:b/>
                <w:bCs/>
                <w:i/>
                <w:iCs/>
                <w:noProof/>
                <w:sz w:val="20"/>
                <w:szCs w:val="20"/>
              </w:rPr>
            </w:pPr>
          </w:p>
        </w:tc>
        <w:tc>
          <w:tcPr>
            <w:tcW w:w="1417" w:type="dxa"/>
            <w:vAlign w:val="center"/>
          </w:tcPr>
          <w:p w:rsidR="00F46EAD" w:rsidRDefault="00F46EAD">
            <w:pPr>
              <w:jc w:val="both"/>
              <w:rPr>
                <w:rFonts w:ascii="Times New Roman" w:hAnsi="Times New Roman" w:cs="Times New Roman"/>
                <w:b/>
                <w:bCs/>
                <w:i/>
                <w:iCs/>
                <w:noProof/>
                <w:sz w:val="20"/>
                <w:szCs w:val="20"/>
              </w:rPr>
            </w:pPr>
          </w:p>
        </w:tc>
        <w:tc>
          <w:tcPr>
            <w:tcW w:w="1271" w:type="dxa"/>
            <w:vAlign w:val="center"/>
          </w:tcPr>
          <w:p w:rsidR="00F46EAD" w:rsidRDefault="00F46EAD">
            <w:pPr>
              <w:jc w:val="both"/>
              <w:rPr>
                <w:rFonts w:ascii="Times New Roman" w:hAnsi="Times New Roman" w:cs="Times New Roman"/>
                <w:b/>
                <w:bCs/>
                <w:i/>
                <w:iCs/>
                <w:noProof/>
                <w:sz w:val="20"/>
                <w:szCs w:val="20"/>
              </w:rPr>
            </w:pPr>
          </w:p>
        </w:tc>
        <w:tc>
          <w:tcPr>
            <w:tcW w:w="1276" w:type="dxa"/>
            <w:vAlign w:val="center"/>
          </w:tcPr>
          <w:p w:rsidR="00F46EAD" w:rsidRDefault="00F46EAD">
            <w:pPr>
              <w:jc w:val="both"/>
              <w:rPr>
                <w:rFonts w:ascii="Times New Roman" w:hAnsi="Times New Roman" w:cs="Times New Roman"/>
                <w:b/>
                <w:bCs/>
                <w:i/>
                <w:iCs/>
                <w:noProof/>
                <w:sz w:val="20"/>
                <w:szCs w:val="20"/>
              </w:rPr>
            </w:pPr>
          </w:p>
        </w:tc>
      </w:tr>
      <w:tr w:rsidR="00F46EAD">
        <w:trPr>
          <w:gridAfter w:val="1"/>
          <w:wAfter w:w="11" w:type="dxa"/>
          <w:trHeight w:val="20"/>
          <w:jc w:val="center"/>
        </w:trPr>
        <w:tc>
          <w:tcPr>
            <w:tcW w:w="5245" w:type="dxa"/>
            <w:vAlign w:val="center"/>
            <w:hideMark/>
          </w:tcPr>
          <w:p w:rsidR="00F46EAD" w:rsidRDefault="004F5A9B">
            <w:pPr>
              <w:jc w:val="center"/>
              <w:rPr>
                <w:rFonts w:ascii="Times New Roman" w:hAnsi="Times New Roman" w:cs="Times New Roman"/>
                <w:i/>
                <w:iCs/>
                <w:noProof/>
                <w:sz w:val="20"/>
                <w:szCs w:val="20"/>
              </w:rPr>
            </w:pPr>
            <w:r>
              <w:rPr>
                <w:rFonts w:ascii="Times New Roman" w:hAnsi="Times New Roman" w:cs="Times New Roman"/>
                <w:i/>
                <w:iCs/>
                <w:noProof/>
                <w:sz w:val="20"/>
                <w:szCs w:val="20"/>
              </w:rPr>
              <w:t>Preko jedne godine</w:t>
            </w:r>
          </w:p>
        </w:tc>
        <w:tc>
          <w:tcPr>
            <w:tcW w:w="1559" w:type="dxa"/>
            <w:vAlign w:val="center"/>
            <w:hideMark/>
          </w:tcPr>
          <w:p w:rsidR="00F46EAD" w:rsidRDefault="004F5A9B">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417" w:type="dxa"/>
            <w:vAlign w:val="center"/>
            <w:hideMark/>
          </w:tcPr>
          <w:p w:rsidR="00F46EAD" w:rsidRDefault="004F5A9B">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271" w:type="dxa"/>
            <w:vAlign w:val="center"/>
            <w:hideMark/>
          </w:tcPr>
          <w:p w:rsidR="00F46EAD" w:rsidRDefault="004F5A9B">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c>
          <w:tcPr>
            <w:tcW w:w="1276" w:type="dxa"/>
            <w:vAlign w:val="center"/>
            <w:hideMark/>
          </w:tcPr>
          <w:p w:rsidR="00F46EAD" w:rsidRDefault="004F5A9B">
            <w:pPr>
              <w:jc w:val="both"/>
              <w:rPr>
                <w:rFonts w:ascii="Times New Roman" w:hAnsi="Times New Roman" w:cs="Times New Roman"/>
                <w:b/>
                <w:bCs/>
                <w:i/>
                <w:iCs/>
                <w:noProof/>
                <w:sz w:val="20"/>
                <w:szCs w:val="20"/>
              </w:rPr>
            </w:pPr>
            <w:r>
              <w:rPr>
                <w:rFonts w:ascii="Times New Roman" w:hAnsi="Times New Roman" w:cs="Times New Roman"/>
                <w:b/>
                <w:bCs/>
                <w:i/>
                <w:iCs/>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Dugoročni depoziti nerezidenata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Dugoročni krediti od nerezidenata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tcPr>
          <w:p w:rsidR="00F46EAD" w:rsidRDefault="004F5A9B">
            <w:pPr>
              <w:rPr>
                <w:rFonts w:ascii="Times New Roman" w:hAnsi="Times New Roman" w:cs="Times New Roman"/>
                <w:noProof/>
                <w:sz w:val="20"/>
                <w:szCs w:val="20"/>
              </w:rPr>
            </w:pPr>
            <w:r>
              <w:rPr>
                <w:rFonts w:ascii="Times New Roman" w:hAnsi="Times New Roman" w:cs="Times New Roman"/>
                <w:noProof/>
                <w:sz w:val="20"/>
                <w:szCs w:val="20"/>
              </w:rPr>
              <w:t>Dugoročni vrijednosni papiri kod nerezidenata</w:t>
            </w:r>
          </w:p>
        </w:tc>
        <w:tc>
          <w:tcPr>
            <w:tcW w:w="1559" w:type="dxa"/>
            <w:vAlign w:val="center"/>
          </w:tcPr>
          <w:p w:rsidR="00F46EAD" w:rsidRDefault="00F46EAD">
            <w:pPr>
              <w:jc w:val="both"/>
              <w:rPr>
                <w:rFonts w:ascii="Times New Roman" w:hAnsi="Times New Roman" w:cs="Times New Roman"/>
                <w:b/>
                <w:bCs/>
                <w:noProof/>
                <w:sz w:val="20"/>
                <w:szCs w:val="20"/>
              </w:rPr>
            </w:pPr>
          </w:p>
        </w:tc>
        <w:tc>
          <w:tcPr>
            <w:tcW w:w="1417" w:type="dxa"/>
            <w:vAlign w:val="center"/>
          </w:tcPr>
          <w:p w:rsidR="00F46EAD" w:rsidRDefault="00F46EAD">
            <w:pPr>
              <w:jc w:val="both"/>
              <w:rPr>
                <w:rFonts w:ascii="Times New Roman" w:hAnsi="Times New Roman" w:cs="Times New Roman"/>
                <w:b/>
                <w:bCs/>
                <w:noProof/>
                <w:sz w:val="20"/>
                <w:szCs w:val="20"/>
              </w:rPr>
            </w:pPr>
          </w:p>
        </w:tc>
        <w:tc>
          <w:tcPr>
            <w:tcW w:w="1271" w:type="dxa"/>
            <w:vAlign w:val="center"/>
          </w:tcPr>
          <w:p w:rsidR="00F46EAD" w:rsidRDefault="00F46EAD">
            <w:pPr>
              <w:jc w:val="both"/>
              <w:rPr>
                <w:rFonts w:ascii="Times New Roman" w:hAnsi="Times New Roman" w:cs="Times New Roman"/>
                <w:b/>
                <w:bCs/>
                <w:noProof/>
                <w:sz w:val="20"/>
                <w:szCs w:val="20"/>
              </w:rPr>
            </w:pPr>
          </w:p>
        </w:tc>
        <w:tc>
          <w:tcPr>
            <w:tcW w:w="1276" w:type="dxa"/>
            <w:vAlign w:val="center"/>
          </w:tcPr>
          <w:p w:rsidR="00F46EAD" w:rsidRDefault="00F46EAD">
            <w:pPr>
              <w:jc w:val="both"/>
              <w:rPr>
                <w:rFonts w:ascii="Times New Roman" w:hAnsi="Times New Roman" w:cs="Times New Roman"/>
                <w:b/>
                <w:bCs/>
                <w:noProof/>
                <w:sz w:val="20"/>
                <w:szCs w:val="20"/>
              </w:rPr>
            </w:pPr>
          </w:p>
        </w:tc>
      </w:tr>
      <w:tr w:rsidR="00F46EAD">
        <w:trPr>
          <w:gridAfter w:val="1"/>
          <w:wAfter w:w="11" w:type="dxa"/>
          <w:trHeight w:val="20"/>
          <w:jc w:val="center"/>
        </w:trPr>
        <w:tc>
          <w:tcPr>
            <w:tcW w:w="5245" w:type="dxa"/>
            <w:vAlign w:val="center"/>
            <w:hideMark/>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1 - IZNOS UKUPNO</w:t>
            </w:r>
          </w:p>
        </w:tc>
        <w:tc>
          <w:tcPr>
            <w:tcW w:w="1559"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17"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1"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6"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r>
      <w:tr w:rsidR="00F46EAD">
        <w:trPr>
          <w:gridAfter w:val="1"/>
          <w:wAfter w:w="11" w:type="dxa"/>
          <w:trHeight w:val="20"/>
          <w:jc w:val="center"/>
        </w:trPr>
        <w:tc>
          <w:tcPr>
            <w:tcW w:w="5245" w:type="dxa"/>
            <w:vAlign w:val="center"/>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1a) do jedne godine</w:t>
            </w:r>
          </w:p>
        </w:tc>
        <w:tc>
          <w:tcPr>
            <w:tcW w:w="1559" w:type="dxa"/>
            <w:vAlign w:val="center"/>
          </w:tcPr>
          <w:p w:rsidR="00F46EAD" w:rsidRDefault="00F46EAD">
            <w:pPr>
              <w:jc w:val="both"/>
              <w:rPr>
                <w:rFonts w:ascii="Times New Roman" w:hAnsi="Times New Roman" w:cs="Times New Roman"/>
                <w:noProof/>
                <w:sz w:val="20"/>
                <w:szCs w:val="20"/>
              </w:rPr>
            </w:pPr>
          </w:p>
        </w:tc>
        <w:tc>
          <w:tcPr>
            <w:tcW w:w="1417" w:type="dxa"/>
            <w:vAlign w:val="center"/>
          </w:tcPr>
          <w:p w:rsidR="00F46EAD" w:rsidRDefault="00F46EAD">
            <w:pPr>
              <w:jc w:val="both"/>
              <w:rPr>
                <w:rFonts w:ascii="Times New Roman" w:hAnsi="Times New Roman" w:cs="Times New Roman"/>
                <w:noProof/>
                <w:sz w:val="20"/>
                <w:szCs w:val="20"/>
              </w:rPr>
            </w:pPr>
          </w:p>
        </w:tc>
        <w:tc>
          <w:tcPr>
            <w:tcW w:w="1271" w:type="dxa"/>
            <w:vAlign w:val="center"/>
          </w:tcPr>
          <w:p w:rsidR="00F46EAD" w:rsidRDefault="00F46EAD">
            <w:pPr>
              <w:jc w:val="both"/>
              <w:rPr>
                <w:rFonts w:ascii="Times New Roman" w:hAnsi="Times New Roman" w:cs="Times New Roman"/>
                <w:noProof/>
                <w:sz w:val="20"/>
                <w:szCs w:val="20"/>
              </w:rPr>
            </w:pPr>
          </w:p>
        </w:tc>
        <w:tc>
          <w:tcPr>
            <w:tcW w:w="1276" w:type="dxa"/>
            <w:vAlign w:val="center"/>
          </w:tcPr>
          <w:p w:rsidR="00F46EAD" w:rsidRDefault="00F46EAD">
            <w:pPr>
              <w:jc w:val="both"/>
              <w:rPr>
                <w:rFonts w:ascii="Times New Roman" w:hAnsi="Times New Roman" w:cs="Times New Roman"/>
                <w:noProof/>
                <w:sz w:val="20"/>
                <w:szCs w:val="20"/>
              </w:rPr>
            </w:pPr>
          </w:p>
        </w:tc>
      </w:tr>
      <w:tr w:rsidR="00F46EAD">
        <w:trPr>
          <w:gridAfter w:val="1"/>
          <w:wAfter w:w="11" w:type="dxa"/>
          <w:trHeight w:val="20"/>
          <w:jc w:val="center"/>
        </w:trPr>
        <w:tc>
          <w:tcPr>
            <w:tcW w:w="5245" w:type="dxa"/>
            <w:vAlign w:val="center"/>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1b) preko jedne godine</w:t>
            </w:r>
          </w:p>
        </w:tc>
        <w:tc>
          <w:tcPr>
            <w:tcW w:w="1559" w:type="dxa"/>
            <w:vAlign w:val="center"/>
          </w:tcPr>
          <w:p w:rsidR="00F46EAD" w:rsidRDefault="00F46EAD">
            <w:pPr>
              <w:jc w:val="both"/>
              <w:rPr>
                <w:rFonts w:ascii="Times New Roman" w:hAnsi="Times New Roman" w:cs="Times New Roman"/>
                <w:noProof/>
                <w:sz w:val="20"/>
                <w:szCs w:val="20"/>
              </w:rPr>
            </w:pPr>
          </w:p>
        </w:tc>
        <w:tc>
          <w:tcPr>
            <w:tcW w:w="1417" w:type="dxa"/>
            <w:vAlign w:val="center"/>
          </w:tcPr>
          <w:p w:rsidR="00F46EAD" w:rsidRDefault="00F46EAD">
            <w:pPr>
              <w:jc w:val="both"/>
              <w:rPr>
                <w:rFonts w:ascii="Times New Roman" w:hAnsi="Times New Roman" w:cs="Times New Roman"/>
                <w:noProof/>
                <w:sz w:val="20"/>
                <w:szCs w:val="20"/>
              </w:rPr>
            </w:pPr>
          </w:p>
        </w:tc>
        <w:tc>
          <w:tcPr>
            <w:tcW w:w="1271" w:type="dxa"/>
            <w:vAlign w:val="center"/>
          </w:tcPr>
          <w:p w:rsidR="00F46EAD" w:rsidRDefault="00F46EAD">
            <w:pPr>
              <w:jc w:val="both"/>
              <w:rPr>
                <w:rFonts w:ascii="Times New Roman" w:hAnsi="Times New Roman" w:cs="Times New Roman"/>
                <w:noProof/>
                <w:sz w:val="20"/>
                <w:szCs w:val="20"/>
              </w:rPr>
            </w:pPr>
          </w:p>
        </w:tc>
        <w:tc>
          <w:tcPr>
            <w:tcW w:w="1276" w:type="dxa"/>
            <w:vAlign w:val="center"/>
          </w:tcPr>
          <w:p w:rsidR="00F46EAD" w:rsidRDefault="00F46EAD">
            <w:pPr>
              <w:jc w:val="both"/>
              <w:rPr>
                <w:rFonts w:ascii="Times New Roman" w:hAnsi="Times New Roman" w:cs="Times New Roman"/>
                <w:noProof/>
                <w:sz w:val="20"/>
                <w:szCs w:val="20"/>
              </w:rPr>
            </w:pP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2 - Depoziti po viđenju rezidenata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središnje vlade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vlada entiteta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vlada kantona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općinskih vlada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fondova za socijalno osiguranje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Drugi nebankarski domaći sektori</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2 - IZNOS UKUPNO</w:t>
            </w:r>
          </w:p>
        </w:tc>
        <w:tc>
          <w:tcPr>
            <w:tcW w:w="1559"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17"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1"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6"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xml:space="preserve">3 - Oročeni i štedni depoziti rezidenata </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center"/>
              <w:rPr>
                <w:rFonts w:ascii="Times New Roman" w:hAnsi="Times New Roman" w:cs="Times New Roman"/>
                <w:i/>
                <w:iCs/>
                <w:noProof/>
                <w:sz w:val="20"/>
                <w:szCs w:val="20"/>
              </w:rPr>
            </w:pPr>
            <w:r>
              <w:rPr>
                <w:rFonts w:ascii="Times New Roman" w:hAnsi="Times New Roman" w:cs="Times New Roman"/>
                <w:i/>
                <w:iCs/>
                <w:noProof/>
                <w:sz w:val="20"/>
                <w:szCs w:val="20"/>
              </w:rPr>
              <w:t>Do jedne godine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središnje vlade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vlada entiteta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vlada kantona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xml:space="preserve">Depoziti općinskih vlada </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fondova za socijalno osiguranje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Drugi nebankarski domaći sektori</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center"/>
              <w:rPr>
                <w:rFonts w:ascii="Times New Roman" w:hAnsi="Times New Roman" w:cs="Times New Roman"/>
                <w:i/>
                <w:iCs/>
                <w:noProof/>
                <w:sz w:val="20"/>
                <w:szCs w:val="20"/>
              </w:rPr>
            </w:pPr>
            <w:r>
              <w:rPr>
                <w:rFonts w:ascii="Times New Roman" w:hAnsi="Times New Roman" w:cs="Times New Roman"/>
                <w:i/>
                <w:iCs/>
                <w:noProof/>
                <w:sz w:val="20"/>
                <w:szCs w:val="20"/>
              </w:rPr>
              <w:t>Preko jedne godine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središnje vlade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vlada entiteta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vlada kantona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xml:space="preserve">Depoziti općinskih vlada </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Depoziti fondova za socijalno osiguranje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Drugi nebankarski domaći sektori</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3 - IZNOS UKUPNO</w:t>
            </w:r>
          </w:p>
        </w:tc>
        <w:tc>
          <w:tcPr>
            <w:tcW w:w="1559"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17"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1"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6"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r>
      <w:tr w:rsidR="00F46EAD">
        <w:trPr>
          <w:gridAfter w:val="1"/>
          <w:wAfter w:w="11" w:type="dxa"/>
          <w:trHeight w:val="20"/>
          <w:jc w:val="center"/>
        </w:trPr>
        <w:tc>
          <w:tcPr>
            <w:tcW w:w="5245" w:type="dxa"/>
            <w:vAlign w:val="center"/>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3a) do jedne godine</w:t>
            </w:r>
          </w:p>
        </w:tc>
        <w:tc>
          <w:tcPr>
            <w:tcW w:w="1559" w:type="dxa"/>
            <w:vAlign w:val="center"/>
          </w:tcPr>
          <w:p w:rsidR="00F46EAD" w:rsidRDefault="00F46EAD">
            <w:pPr>
              <w:jc w:val="both"/>
              <w:rPr>
                <w:rFonts w:ascii="Times New Roman" w:hAnsi="Times New Roman" w:cs="Times New Roman"/>
                <w:noProof/>
                <w:sz w:val="20"/>
                <w:szCs w:val="20"/>
              </w:rPr>
            </w:pPr>
          </w:p>
        </w:tc>
        <w:tc>
          <w:tcPr>
            <w:tcW w:w="1417" w:type="dxa"/>
            <w:vAlign w:val="center"/>
          </w:tcPr>
          <w:p w:rsidR="00F46EAD" w:rsidRDefault="00F46EAD">
            <w:pPr>
              <w:jc w:val="both"/>
              <w:rPr>
                <w:rFonts w:ascii="Times New Roman" w:hAnsi="Times New Roman" w:cs="Times New Roman"/>
                <w:noProof/>
                <w:sz w:val="20"/>
                <w:szCs w:val="20"/>
              </w:rPr>
            </w:pPr>
          </w:p>
        </w:tc>
        <w:tc>
          <w:tcPr>
            <w:tcW w:w="1271" w:type="dxa"/>
            <w:vAlign w:val="center"/>
          </w:tcPr>
          <w:p w:rsidR="00F46EAD" w:rsidRDefault="00F46EAD">
            <w:pPr>
              <w:jc w:val="both"/>
              <w:rPr>
                <w:rFonts w:ascii="Times New Roman" w:hAnsi="Times New Roman" w:cs="Times New Roman"/>
                <w:noProof/>
                <w:sz w:val="20"/>
                <w:szCs w:val="20"/>
              </w:rPr>
            </w:pPr>
          </w:p>
        </w:tc>
        <w:tc>
          <w:tcPr>
            <w:tcW w:w="1276" w:type="dxa"/>
            <w:vAlign w:val="center"/>
          </w:tcPr>
          <w:p w:rsidR="00F46EAD" w:rsidRDefault="00F46EAD">
            <w:pPr>
              <w:jc w:val="both"/>
              <w:rPr>
                <w:rFonts w:ascii="Times New Roman" w:hAnsi="Times New Roman" w:cs="Times New Roman"/>
                <w:noProof/>
                <w:sz w:val="20"/>
                <w:szCs w:val="20"/>
              </w:rPr>
            </w:pPr>
          </w:p>
        </w:tc>
      </w:tr>
      <w:tr w:rsidR="00F46EAD">
        <w:trPr>
          <w:gridAfter w:val="1"/>
          <w:wAfter w:w="11" w:type="dxa"/>
          <w:trHeight w:val="20"/>
          <w:jc w:val="center"/>
        </w:trPr>
        <w:tc>
          <w:tcPr>
            <w:tcW w:w="5245" w:type="dxa"/>
            <w:vAlign w:val="center"/>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3b) preko jedne godine</w:t>
            </w:r>
          </w:p>
        </w:tc>
        <w:tc>
          <w:tcPr>
            <w:tcW w:w="1559" w:type="dxa"/>
            <w:vAlign w:val="center"/>
          </w:tcPr>
          <w:p w:rsidR="00F46EAD" w:rsidRDefault="00F46EAD">
            <w:pPr>
              <w:jc w:val="both"/>
              <w:rPr>
                <w:rFonts w:ascii="Times New Roman" w:hAnsi="Times New Roman" w:cs="Times New Roman"/>
                <w:noProof/>
                <w:sz w:val="20"/>
                <w:szCs w:val="20"/>
              </w:rPr>
            </w:pPr>
          </w:p>
        </w:tc>
        <w:tc>
          <w:tcPr>
            <w:tcW w:w="1417" w:type="dxa"/>
            <w:vAlign w:val="center"/>
          </w:tcPr>
          <w:p w:rsidR="00F46EAD" w:rsidRDefault="00F46EAD">
            <w:pPr>
              <w:jc w:val="both"/>
              <w:rPr>
                <w:rFonts w:ascii="Times New Roman" w:hAnsi="Times New Roman" w:cs="Times New Roman"/>
                <w:noProof/>
                <w:sz w:val="20"/>
                <w:szCs w:val="20"/>
              </w:rPr>
            </w:pPr>
          </w:p>
        </w:tc>
        <w:tc>
          <w:tcPr>
            <w:tcW w:w="1271" w:type="dxa"/>
            <w:vAlign w:val="center"/>
          </w:tcPr>
          <w:p w:rsidR="00F46EAD" w:rsidRDefault="00F46EAD">
            <w:pPr>
              <w:jc w:val="both"/>
              <w:rPr>
                <w:rFonts w:ascii="Times New Roman" w:hAnsi="Times New Roman" w:cs="Times New Roman"/>
                <w:noProof/>
                <w:sz w:val="20"/>
                <w:szCs w:val="20"/>
              </w:rPr>
            </w:pPr>
          </w:p>
        </w:tc>
        <w:tc>
          <w:tcPr>
            <w:tcW w:w="1276" w:type="dxa"/>
            <w:vAlign w:val="center"/>
          </w:tcPr>
          <w:p w:rsidR="00F46EAD" w:rsidRDefault="00F46EAD">
            <w:pPr>
              <w:jc w:val="both"/>
              <w:rPr>
                <w:rFonts w:ascii="Times New Roman" w:hAnsi="Times New Roman" w:cs="Times New Roman"/>
                <w:noProof/>
                <w:sz w:val="20"/>
                <w:szCs w:val="20"/>
              </w:rPr>
            </w:pP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4 - Ograničeni depoziti</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center"/>
              <w:rPr>
                <w:rFonts w:ascii="Times New Roman" w:hAnsi="Times New Roman" w:cs="Times New Roman"/>
                <w:i/>
                <w:iCs/>
                <w:noProof/>
                <w:sz w:val="20"/>
                <w:szCs w:val="20"/>
              </w:rPr>
            </w:pPr>
            <w:r>
              <w:rPr>
                <w:rFonts w:ascii="Times New Roman" w:hAnsi="Times New Roman" w:cs="Times New Roman"/>
                <w:i/>
                <w:iCs/>
                <w:noProof/>
                <w:sz w:val="20"/>
                <w:szCs w:val="20"/>
              </w:rPr>
              <w:t>a) Do jedne godine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center"/>
              <w:rPr>
                <w:rFonts w:ascii="Times New Roman" w:hAnsi="Times New Roman" w:cs="Times New Roman"/>
                <w:i/>
                <w:iCs/>
                <w:noProof/>
                <w:sz w:val="20"/>
                <w:szCs w:val="20"/>
              </w:rPr>
            </w:pPr>
            <w:r>
              <w:rPr>
                <w:rFonts w:ascii="Times New Roman" w:hAnsi="Times New Roman" w:cs="Times New Roman"/>
                <w:i/>
                <w:iCs/>
                <w:noProof/>
                <w:sz w:val="20"/>
                <w:szCs w:val="20"/>
              </w:rPr>
              <w:lastRenderedPageBreak/>
              <w:t xml:space="preserve">    b) Preko jedne godine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4 - IZNOS UKUPNO</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xml:space="preserve">5 - Vladini fondovi za pozajmljivanje </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center"/>
              <w:rPr>
                <w:rFonts w:ascii="Times New Roman" w:hAnsi="Times New Roman" w:cs="Times New Roman"/>
                <w:i/>
                <w:iCs/>
                <w:noProof/>
                <w:sz w:val="20"/>
                <w:szCs w:val="20"/>
              </w:rPr>
            </w:pPr>
            <w:r>
              <w:rPr>
                <w:rFonts w:ascii="Times New Roman" w:hAnsi="Times New Roman" w:cs="Times New Roman"/>
                <w:i/>
                <w:iCs/>
                <w:noProof/>
                <w:sz w:val="20"/>
                <w:szCs w:val="20"/>
              </w:rPr>
              <w:t>a) Do jedne godine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center"/>
              <w:rPr>
                <w:rFonts w:ascii="Times New Roman" w:hAnsi="Times New Roman" w:cs="Times New Roman"/>
                <w:i/>
                <w:iCs/>
                <w:noProof/>
                <w:sz w:val="20"/>
                <w:szCs w:val="20"/>
              </w:rPr>
            </w:pPr>
            <w:r>
              <w:rPr>
                <w:rFonts w:ascii="Times New Roman" w:hAnsi="Times New Roman" w:cs="Times New Roman"/>
                <w:i/>
                <w:iCs/>
                <w:noProof/>
                <w:sz w:val="20"/>
                <w:szCs w:val="20"/>
              </w:rPr>
              <w:t xml:space="preserve">    b) Preko jedne godine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5 - IZNOS UKUPNO</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6. Vrijednosni papiri kod rezidenata</w:t>
            </w:r>
          </w:p>
        </w:tc>
        <w:tc>
          <w:tcPr>
            <w:tcW w:w="1559" w:type="dxa"/>
            <w:vAlign w:val="center"/>
          </w:tcPr>
          <w:p w:rsidR="00F46EAD" w:rsidRDefault="00F46EAD">
            <w:pPr>
              <w:jc w:val="both"/>
              <w:rPr>
                <w:rFonts w:ascii="Times New Roman" w:hAnsi="Times New Roman" w:cs="Times New Roman"/>
                <w:noProof/>
                <w:sz w:val="20"/>
                <w:szCs w:val="20"/>
              </w:rPr>
            </w:pPr>
          </w:p>
        </w:tc>
        <w:tc>
          <w:tcPr>
            <w:tcW w:w="1417" w:type="dxa"/>
            <w:vAlign w:val="center"/>
          </w:tcPr>
          <w:p w:rsidR="00F46EAD" w:rsidRDefault="00F46EAD">
            <w:pPr>
              <w:jc w:val="both"/>
              <w:rPr>
                <w:rFonts w:ascii="Times New Roman" w:hAnsi="Times New Roman" w:cs="Times New Roman"/>
                <w:noProof/>
                <w:sz w:val="20"/>
                <w:szCs w:val="20"/>
              </w:rPr>
            </w:pPr>
          </w:p>
        </w:tc>
        <w:tc>
          <w:tcPr>
            <w:tcW w:w="1271" w:type="dxa"/>
            <w:vAlign w:val="center"/>
          </w:tcPr>
          <w:p w:rsidR="00F46EAD" w:rsidRDefault="00F46EAD">
            <w:pPr>
              <w:jc w:val="both"/>
              <w:rPr>
                <w:rFonts w:ascii="Times New Roman" w:hAnsi="Times New Roman" w:cs="Times New Roman"/>
                <w:noProof/>
                <w:sz w:val="20"/>
                <w:szCs w:val="20"/>
              </w:rPr>
            </w:pPr>
          </w:p>
        </w:tc>
        <w:tc>
          <w:tcPr>
            <w:tcW w:w="1276" w:type="dxa"/>
            <w:vAlign w:val="center"/>
          </w:tcPr>
          <w:p w:rsidR="00F46EAD" w:rsidRDefault="00F46EAD">
            <w:pPr>
              <w:jc w:val="both"/>
              <w:rPr>
                <w:rFonts w:ascii="Times New Roman" w:hAnsi="Times New Roman" w:cs="Times New Roman"/>
                <w:noProof/>
                <w:sz w:val="20"/>
                <w:szCs w:val="20"/>
              </w:rPr>
            </w:pPr>
          </w:p>
        </w:tc>
      </w:tr>
      <w:tr w:rsidR="00F46EAD">
        <w:trPr>
          <w:gridAfter w:val="1"/>
          <w:wAfter w:w="11" w:type="dxa"/>
          <w:trHeight w:val="20"/>
          <w:jc w:val="center"/>
        </w:trPr>
        <w:tc>
          <w:tcPr>
            <w:tcW w:w="5245" w:type="dxa"/>
            <w:vAlign w:val="center"/>
          </w:tcPr>
          <w:p w:rsidR="00F46EAD" w:rsidRDefault="004F5A9B">
            <w:pPr>
              <w:jc w:val="center"/>
              <w:rPr>
                <w:rFonts w:ascii="Times New Roman" w:hAnsi="Times New Roman" w:cs="Times New Roman"/>
                <w:b/>
                <w:bCs/>
                <w:noProof/>
                <w:sz w:val="20"/>
                <w:szCs w:val="20"/>
              </w:rPr>
            </w:pPr>
            <w:r>
              <w:rPr>
                <w:rFonts w:ascii="Times New Roman" w:hAnsi="Times New Roman" w:cs="Times New Roman"/>
                <w:i/>
                <w:iCs/>
                <w:noProof/>
                <w:sz w:val="20"/>
                <w:szCs w:val="20"/>
              </w:rPr>
              <w:t>a) Do jedne godine</w:t>
            </w:r>
          </w:p>
        </w:tc>
        <w:tc>
          <w:tcPr>
            <w:tcW w:w="1559" w:type="dxa"/>
            <w:vAlign w:val="center"/>
          </w:tcPr>
          <w:p w:rsidR="00F46EAD" w:rsidRDefault="00F46EAD">
            <w:pPr>
              <w:jc w:val="both"/>
              <w:rPr>
                <w:rFonts w:ascii="Times New Roman" w:hAnsi="Times New Roman" w:cs="Times New Roman"/>
                <w:noProof/>
                <w:sz w:val="20"/>
                <w:szCs w:val="20"/>
              </w:rPr>
            </w:pPr>
          </w:p>
        </w:tc>
        <w:tc>
          <w:tcPr>
            <w:tcW w:w="1417" w:type="dxa"/>
            <w:vAlign w:val="center"/>
          </w:tcPr>
          <w:p w:rsidR="00F46EAD" w:rsidRDefault="00F46EAD">
            <w:pPr>
              <w:jc w:val="both"/>
              <w:rPr>
                <w:rFonts w:ascii="Times New Roman" w:hAnsi="Times New Roman" w:cs="Times New Roman"/>
                <w:noProof/>
                <w:sz w:val="20"/>
                <w:szCs w:val="20"/>
              </w:rPr>
            </w:pPr>
          </w:p>
        </w:tc>
        <w:tc>
          <w:tcPr>
            <w:tcW w:w="1271" w:type="dxa"/>
            <w:vAlign w:val="center"/>
          </w:tcPr>
          <w:p w:rsidR="00F46EAD" w:rsidRDefault="00F46EAD">
            <w:pPr>
              <w:jc w:val="both"/>
              <w:rPr>
                <w:rFonts w:ascii="Times New Roman" w:hAnsi="Times New Roman" w:cs="Times New Roman"/>
                <w:noProof/>
                <w:sz w:val="20"/>
                <w:szCs w:val="20"/>
              </w:rPr>
            </w:pPr>
          </w:p>
        </w:tc>
        <w:tc>
          <w:tcPr>
            <w:tcW w:w="1276" w:type="dxa"/>
            <w:vAlign w:val="center"/>
          </w:tcPr>
          <w:p w:rsidR="00F46EAD" w:rsidRDefault="00F46EAD">
            <w:pPr>
              <w:jc w:val="both"/>
              <w:rPr>
                <w:rFonts w:ascii="Times New Roman" w:hAnsi="Times New Roman" w:cs="Times New Roman"/>
                <w:noProof/>
                <w:sz w:val="20"/>
                <w:szCs w:val="20"/>
              </w:rPr>
            </w:pPr>
          </w:p>
        </w:tc>
      </w:tr>
      <w:tr w:rsidR="00F46EAD">
        <w:trPr>
          <w:gridAfter w:val="1"/>
          <w:wAfter w:w="11" w:type="dxa"/>
          <w:trHeight w:val="20"/>
          <w:jc w:val="center"/>
        </w:trPr>
        <w:tc>
          <w:tcPr>
            <w:tcW w:w="5245" w:type="dxa"/>
            <w:vAlign w:val="center"/>
          </w:tcPr>
          <w:p w:rsidR="00F46EAD" w:rsidRDefault="004F5A9B">
            <w:pPr>
              <w:jc w:val="center"/>
              <w:rPr>
                <w:rFonts w:ascii="Times New Roman" w:hAnsi="Times New Roman" w:cs="Times New Roman"/>
                <w:b/>
                <w:bCs/>
                <w:noProof/>
                <w:sz w:val="20"/>
                <w:szCs w:val="20"/>
              </w:rPr>
            </w:pPr>
            <w:r>
              <w:rPr>
                <w:rFonts w:ascii="Times New Roman" w:hAnsi="Times New Roman" w:cs="Times New Roman"/>
                <w:i/>
                <w:iCs/>
                <w:noProof/>
                <w:sz w:val="20"/>
                <w:szCs w:val="20"/>
              </w:rPr>
              <w:t>b) Preko jedne godine</w:t>
            </w:r>
          </w:p>
        </w:tc>
        <w:tc>
          <w:tcPr>
            <w:tcW w:w="1559" w:type="dxa"/>
            <w:vAlign w:val="center"/>
          </w:tcPr>
          <w:p w:rsidR="00F46EAD" w:rsidRDefault="00F46EAD">
            <w:pPr>
              <w:jc w:val="both"/>
              <w:rPr>
                <w:rFonts w:ascii="Times New Roman" w:hAnsi="Times New Roman" w:cs="Times New Roman"/>
                <w:noProof/>
                <w:sz w:val="20"/>
                <w:szCs w:val="20"/>
              </w:rPr>
            </w:pPr>
          </w:p>
        </w:tc>
        <w:tc>
          <w:tcPr>
            <w:tcW w:w="1417" w:type="dxa"/>
            <w:vAlign w:val="center"/>
          </w:tcPr>
          <w:p w:rsidR="00F46EAD" w:rsidRDefault="00F46EAD">
            <w:pPr>
              <w:jc w:val="both"/>
              <w:rPr>
                <w:rFonts w:ascii="Times New Roman" w:hAnsi="Times New Roman" w:cs="Times New Roman"/>
                <w:noProof/>
                <w:sz w:val="20"/>
                <w:szCs w:val="20"/>
              </w:rPr>
            </w:pPr>
          </w:p>
        </w:tc>
        <w:tc>
          <w:tcPr>
            <w:tcW w:w="1271" w:type="dxa"/>
            <w:vAlign w:val="center"/>
          </w:tcPr>
          <w:p w:rsidR="00F46EAD" w:rsidRDefault="00F46EAD">
            <w:pPr>
              <w:jc w:val="both"/>
              <w:rPr>
                <w:rFonts w:ascii="Times New Roman" w:hAnsi="Times New Roman" w:cs="Times New Roman"/>
                <w:noProof/>
                <w:sz w:val="20"/>
                <w:szCs w:val="20"/>
              </w:rPr>
            </w:pPr>
          </w:p>
        </w:tc>
        <w:tc>
          <w:tcPr>
            <w:tcW w:w="1276" w:type="dxa"/>
            <w:vAlign w:val="center"/>
          </w:tcPr>
          <w:p w:rsidR="00F46EAD" w:rsidRDefault="00F46EAD">
            <w:pPr>
              <w:jc w:val="both"/>
              <w:rPr>
                <w:rFonts w:ascii="Times New Roman" w:hAnsi="Times New Roman" w:cs="Times New Roman"/>
                <w:noProof/>
                <w:sz w:val="20"/>
                <w:szCs w:val="20"/>
              </w:rPr>
            </w:pPr>
          </w:p>
        </w:tc>
      </w:tr>
      <w:tr w:rsidR="00F46EAD">
        <w:trPr>
          <w:gridAfter w:val="1"/>
          <w:wAfter w:w="11" w:type="dxa"/>
          <w:trHeight w:val="20"/>
          <w:jc w:val="center"/>
        </w:trPr>
        <w:tc>
          <w:tcPr>
            <w:tcW w:w="5245" w:type="dxa"/>
            <w:vAlign w:val="center"/>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6 - IZNOS UKUPNO</w:t>
            </w:r>
          </w:p>
        </w:tc>
        <w:tc>
          <w:tcPr>
            <w:tcW w:w="1559" w:type="dxa"/>
            <w:vAlign w:val="center"/>
          </w:tcPr>
          <w:p w:rsidR="00F46EAD" w:rsidRDefault="00F46EAD">
            <w:pPr>
              <w:jc w:val="both"/>
              <w:rPr>
                <w:rFonts w:ascii="Times New Roman" w:hAnsi="Times New Roman" w:cs="Times New Roman"/>
                <w:noProof/>
                <w:sz w:val="20"/>
                <w:szCs w:val="20"/>
              </w:rPr>
            </w:pPr>
          </w:p>
        </w:tc>
        <w:tc>
          <w:tcPr>
            <w:tcW w:w="1417" w:type="dxa"/>
            <w:vAlign w:val="center"/>
          </w:tcPr>
          <w:p w:rsidR="00F46EAD" w:rsidRDefault="00F46EAD">
            <w:pPr>
              <w:jc w:val="both"/>
              <w:rPr>
                <w:rFonts w:ascii="Times New Roman" w:hAnsi="Times New Roman" w:cs="Times New Roman"/>
                <w:noProof/>
                <w:sz w:val="20"/>
                <w:szCs w:val="20"/>
              </w:rPr>
            </w:pPr>
          </w:p>
        </w:tc>
        <w:tc>
          <w:tcPr>
            <w:tcW w:w="1271" w:type="dxa"/>
            <w:vAlign w:val="center"/>
          </w:tcPr>
          <w:p w:rsidR="00F46EAD" w:rsidRDefault="00F46EAD">
            <w:pPr>
              <w:jc w:val="both"/>
              <w:rPr>
                <w:rFonts w:ascii="Times New Roman" w:hAnsi="Times New Roman" w:cs="Times New Roman"/>
                <w:noProof/>
                <w:sz w:val="20"/>
                <w:szCs w:val="20"/>
              </w:rPr>
            </w:pPr>
          </w:p>
        </w:tc>
        <w:tc>
          <w:tcPr>
            <w:tcW w:w="1276" w:type="dxa"/>
            <w:vAlign w:val="center"/>
          </w:tcPr>
          <w:p w:rsidR="00F46EAD" w:rsidRDefault="00F46EAD">
            <w:pPr>
              <w:jc w:val="both"/>
              <w:rPr>
                <w:rFonts w:ascii="Times New Roman" w:hAnsi="Times New Roman" w:cs="Times New Roman"/>
                <w:noProof/>
                <w:sz w:val="20"/>
                <w:szCs w:val="20"/>
              </w:rPr>
            </w:pP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7 - Ostala pasiva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18"/>
                <w:szCs w:val="20"/>
              </w:rPr>
              <w:t>Drugo - dio koji se odnosi na pozajmice od nebankarskih domaćih sektora</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center"/>
              <w:rPr>
                <w:rFonts w:ascii="Times New Roman" w:hAnsi="Times New Roman" w:cs="Times New Roman"/>
                <w:i/>
                <w:iCs/>
                <w:noProof/>
                <w:sz w:val="20"/>
                <w:szCs w:val="20"/>
              </w:rPr>
            </w:pPr>
            <w:r>
              <w:rPr>
                <w:rFonts w:ascii="Times New Roman" w:hAnsi="Times New Roman" w:cs="Times New Roman"/>
                <w:i/>
                <w:iCs/>
                <w:noProof/>
                <w:sz w:val="20"/>
                <w:szCs w:val="20"/>
              </w:rPr>
              <w:t>a) Do jedne godine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vAlign w:val="center"/>
            <w:hideMark/>
          </w:tcPr>
          <w:p w:rsidR="00F46EAD" w:rsidRDefault="004F5A9B">
            <w:pPr>
              <w:jc w:val="center"/>
              <w:rPr>
                <w:rFonts w:ascii="Times New Roman" w:hAnsi="Times New Roman" w:cs="Times New Roman"/>
                <w:i/>
                <w:iCs/>
                <w:noProof/>
                <w:sz w:val="20"/>
                <w:szCs w:val="20"/>
              </w:rPr>
            </w:pPr>
            <w:r>
              <w:rPr>
                <w:rFonts w:ascii="Times New Roman" w:hAnsi="Times New Roman" w:cs="Times New Roman"/>
                <w:i/>
                <w:iCs/>
                <w:noProof/>
                <w:sz w:val="20"/>
                <w:szCs w:val="20"/>
              </w:rPr>
              <w:t>b) Preko jedne godine</w:t>
            </w:r>
          </w:p>
        </w:tc>
        <w:tc>
          <w:tcPr>
            <w:tcW w:w="1559"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417"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1"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c>
          <w:tcPr>
            <w:tcW w:w="1276" w:type="dxa"/>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 </w:t>
            </w:r>
          </w:p>
        </w:tc>
      </w:tr>
      <w:tr w:rsidR="00F46EAD">
        <w:trPr>
          <w:gridAfter w:val="1"/>
          <w:wAfter w:w="11" w:type="dxa"/>
          <w:trHeight w:val="20"/>
          <w:jc w:val="center"/>
        </w:trPr>
        <w:tc>
          <w:tcPr>
            <w:tcW w:w="5245" w:type="dxa"/>
            <w:tcBorders>
              <w:bottom w:val="single" w:sz="4" w:space="0" w:color="auto"/>
            </w:tcBorders>
            <w:vAlign w:val="center"/>
            <w:hideMark/>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7 - IZNOS UKUPNO</w:t>
            </w:r>
          </w:p>
        </w:tc>
        <w:tc>
          <w:tcPr>
            <w:tcW w:w="1559" w:type="dxa"/>
            <w:tcBorders>
              <w:bottom w:val="single" w:sz="4" w:space="0" w:color="auto"/>
            </w:tcBorders>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17" w:type="dxa"/>
            <w:tcBorders>
              <w:bottom w:val="single" w:sz="4" w:space="0" w:color="auto"/>
            </w:tcBorders>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1" w:type="dxa"/>
            <w:tcBorders>
              <w:bottom w:val="single" w:sz="4" w:space="0" w:color="auto"/>
            </w:tcBorders>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6" w:type="dxa"/>
            <w:tcBorders>
              <w:bottom w:val="single" w:sz="4" w:space="0" w:color="auto"/>
            </w:tcBorders>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r>
      <w:tr w:rsidR="00F46EAD">
        <w:trPr>
          <w:gridAfter w:val="1"/>
          <w:wAfter w:w="11" w:type="dxa"/>
          <w:trHeight w:val="20"/>
          <w:jc w:val="center"/>
        </w:trPr>
        <w:tc>
          <w:tcPr>
            <w:tcW w:w="5245" w:type="dxa"/>
            <w:tcBorders>
              <w:bottom w:val="single" w:sz="4" w:space="0" w:color="auto"/>
            </w:tcBorders>
            <w:vAlign w:val="center"/>
            <w:hideMark/>
          </w:tcPr>
          <w:p w:rsidR="00F46EAD" w:rsidRDefault="004F5A9B">
            <w:pPr>
              <w:jc w:val="right"/>
              <w:rPr>
                <w:rFonts w:ascii="Times New Roman" w:hAnsi="Times New Roman" w:cs="Times New Roman"/>
                <w:b/>
                <w:noProof/>
                <w:sz w:val="20"/>
                <w:szCs w:val="20"/>
              </w:rPr>
            </w:pPr>
            <w:r>
              <w:rPr>
                <w:rFonts w:ascii="Times New Roman" w:hAnsi="Times New Roman" w:cs="Times New Roman"/>
                <w:b/>
                <w:bCs/>
                <w:noProof/>
                <w:sz w:val="20"/>
                <w:szCs w:val="20"/>
              </w:rPr>
              <w:t>UKUPNO (1+2+3+4+5+6+7)</w:t>
            </w:r>
          </w:p>
        </w:tc>
        <w:tc>
          <w:tcPr>
            <w:tcW w:w="1559" w:type="dxa"/>
            <w:tcBorders>
              <w:bottom w:val="single" w:sz="4" w:space="0" w:color="auto"/>
            </w:tcBorders>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417" w:type="dxa"/>
            <w:tcBorders>
              <w:bottom w:val="single" w:sz="4" w:space="0" w:color="auto"/>
            </w:tcBorders>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1" w:type="dxa"/>
            <w:tcBorders>
              <w:bottom w:val="single" w:sz="4" w:space="0" w:color="auto"/>
            </w:tcBorders>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c>
          <w:tcPr>
            <w:tcW w:w="1276" w:type="dxa"/>
            <w:tcBorders>
              <w:bottom w:val="single" w:sz="4" w:space="0" w:color="auto"/>
            </w:tcBorders>
            <w:vAlign w:val="center"/>
            <w:hideMark/>
          </w:tcPr>
          <w:p w:rsidR="00F46EAD" w:rsidRDefault="004F5A9B">
            <w:pPr>
              <w:jc w:val="both"/>
              <w:rPr>
                <w:rFonts w:ascii="Times New Roman" w:hAnsi="Times New Roman" w:cs="Times New Roman"/>
                <w:b/>
                <w:bCs/>
                <w:noProof/>
                <w:sz w:val="20"/>
                <w:szCs w:val="20"/>
              </w:rPr>
            </w:pPr>
            <w:r>
              <w:rPr>
                <w:rFonts w:ascii="Times New Roman" w:hAnsi="Times New Roman" w:cs="Times New Roman"/>
                <w:b/>
                <w:bCs/>
                <w:noProof/>
                <w:sz w:val="20"/>
                <w:szCs w:val="20"/>
              </w:rPr>
              <w:t> </w:t>
            </w:r>
          </w:p>
        </w:tc>
      </w:tr>
      <w:tr w:rsidR="00F46EAD">
        <w:trPr>
          <w:gridAfter w:val="1"/>
          <w:wAfter w:w="11" w:type="dxa"/>
          <w:trHeight w:val="20"/>
          <w:jc w:val="center"/>
        </w:trPr>
        <w:tc>
          <w:tcPr>
            <w:tcW w:w="5245" w:type="dxa"/>
            <w:tcBorders>
              <w:bottom w:val="single" w:sz="4" w:space="0" w:color="auto"/>
            </w:tcBorders>
            <w:vAlign w:val="center"/>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UKUPNO do 1 godine (1a+2+3a+4a+5a+6a+7a)</w:t>
            </w:r>
          </w:p>
        </w:tc>
        <w:tc>
          <w:tcPr>
            <w:tcW w:w="1559" w:type="dxa"/>
            <w:tcBorders>
              <w:bottom w:val="single" w:sz="4" w:space="0" w:color="auto"/>
            </w:tcBorders>
            <w:vAlign w:val="center"/>
          </w:tcPr>
          <w:p w:rsidR="00F46EAD" w:rsidRDefault="00F46EAD">
            <w:pPr>
              <w:jc w:val="both"/>
              <w:rPr>
                <w:rFonts w:ascii="Times New Roman" w:hAnsi="Times New Roman" w:cs="Times New Roman"/>
                <w:b/>
                <w:bCs/>
                <w:noProof/>
                <w:sz w:val="20"/>
                <w:szCs w:val="20"/>
              </w:rPr>
            </w:pPr>
          </w:p>
        </w:tc>
        <w:tc>
          <w:tcPr>
            <w:tcW w:w="1417" w:type="dxa"/>
            <w:tcBorders>
              <w:bottom w:val="single" w:sz="4" w:space="0" w:color="auto"/>
            </w:tcBorders>
            <w:vAlign w:val="center"/>
          </w:tcPr>
          <w:p w:rsidR="00F46EAD" w:rsidRDefault="00F46EAD">
            <w:pPr>
              <w:jc w:val="both"/>
              <w:rPr>
                <w:rFonts w:ascii="Times New Roman" w:hAnsi="Times New Roman" w:cs="Times New Roman"/>
                <w:b/>
                <w:bCs/>
                <w:noProof/>
                <w:sz w:val="20"/>
                <w:szCs w:val="20"/>
              </w:rPr>
            </w:pPr>
          </w:p>
        </w:tc>
        <w:tc>
          <w:tcPr>
            <w:tcW w:w="1271" w:type="dxa"/>
            <w:tcBorders>
              <w:bottom w:val="single" w:sz="4" w:space="0" w:color="auto"/>
            </w:tcBorders>
            <w:vAlign w:val="center"/>
          </w:tcPr>
          <w:p w:rsidR="00F46EAD" w:rsidRDefault="00F46EAD">
            <w:pPr>
              <w:jc w:val="both"/>
              <w:rPr>
                <w:rFonts w:ascii="Times New Roman" w:hAnsi="Times New Roman" w:cs="Times New Roman"/>
                <w:b/>
                <w:bCs/>
                <w:noProof/>
                <w:sz w:val="20"/>
                <w:szCs w:val="20"/>
              </w:rPr>
            </w:pPr>
          </w:p>
        </w:tc>
        <w:tc>
          <w:tcPr>
            <w:tcW w:w="1276" w:type="dxa"/>
            <w:tcBorders>
              <w:bottom w:val="single" w:sz="4" w:space="0" w:color="auto"/>
            </w:tcBorders>
            <w:vAlign w:val="center"/>
          </w:tcPr>
          <w:p w:rsidR="00F46EAD" w:rsidRDefault="00F46EAD">
            <w:pPr>
              <w:jc w:val="both"/>
              <w:rPr>
                <w:rFonts w:ascii="Times New Roman" w:hAnsi="Times New Roman" w:cs="Times New Roman"/>
                <w:b/>
                <w:bCs/>
                <w:noProof/>
                <w:sz w:val="20"/>
                <w:szCs w:val="20"/>
              </w:rPr>
            </w:pPr>
          </w:p>
        </w:tc>
      </w:tr>
      <w:tr w:rsidR="00F46EAD">
        <w:trPr>
          <w:gridAfter w:val="1"/>
          <w:wAfter w:w="11" w:type="dxa"/>
          <w:trHeight w:val="20"/>
          <w:jc w:val="center"/>
        </w:trPr>
        <w:tc>
          <w:tcPr>
            <w:tcW w:w="5245" w:type="dxa"/>
            <w:tcBorders>
              <w:bottom w:val="single" w:sz="4" w:space="0" w:color="auto"/>
            </w:tcBorders>
            <w:vAlign w:val="center"/>
          </w:tcPr>
          <w:p w:rsidR="00F46EAD" w:rsidRDefault="004F5A9B">
            <w:pPr>
              <w:jc w:val="right"/>
              <w:rPr>
                <w:rFonts w:ascii="Times New Roman" w:hAnsi="Times New Roman" w:cs="Times New Roman"/>
                <w:b/>
                <w:bCs/>
                <w:noProof/>
                <w:sz w:val="20"/>
                <w:szCs w:val="20"/>
              </w:rPr>
            </w:pPr>
            <w:r>
              <w:rPr>
                <w:rFonts w:ascii="Times New Roman" w:hAnsi="Times New Roman" w:cs="Times New Roman"/>
                <w:b/>
                <w:bCs/>
                <w:noProof/>
                <w:sz w:val="20"/>
                <w:szCs w:val="20"/>
              </w:rPr>
              <w:t>UKUPNO preko 1 godine (1b+3b+4b+5b+6b+7b)</w:t>
            </w:r>
          </w:p>
        </w:tc>
        <w:tc>
          <w:tcPr>
            <w:tcW w:w="1559" w:type="dxa"/>
            <w:tcBorders>
              <w:bottom w:val="single" w:sz="4" w:space="0" w:color="auto"/>
            </w:tcBorders>
            <w:vAlign w:val="center"/>
          </w:tcPr>
          <w:p w:rsidR="00F46EAD" w:rsidRDefault="00F46EAD">
            <w:pPr>
              <w:jc w:val="both"/>
              <w:rPr>
                <w:rFonts w:ascii="Times New Roman" w:hAnsi="Times New Roman" w:cs="Times New Roman"/>
                <w:b/>
                <w:bCs/>
                <w:noProof/>
                <w:sz w:val="20"/>
                <w:szCs w:val="20"/>
              </w:rPr>
            </w:pPr>
          </w:p>
        </w:tc>
        <w:tc>
          <w:tcPr>
            <w:tcW w:w="1417" w:type="dxa"/>
            <w:tcBorders>
              <w:bottom w:val="single" w:sz="4" w:space="0" w:color="auto"/>
            </w:tcBorders>
            <w:vAlign w:val="center"/>
          </w:tcPr>
          <w:p w:rsidR="00F46EAD" w:rsidRDefault="00F46EAD">
            <w:pPr>
              <w:jc w:val="both"/>
              <w:rPr>
                <w:rFonts w:ascii="Times New Roman" w:hAnsi="Times New Roman" w:cs="Times New Roman"/>
                <w:b/>
                <w:bCs/>
                <w:noProof/>
                <w:sz w:val="20"/>
                <w:szCs w:val="20"/>
              </w:rPr>
            </w:pPr>
          </w:p>
        </w:tc>
        <w:tc>
          <w:tcPr>
            <w:tcW w:w="1271" w:type="dxa"/>
            <w:tcBorders>
              <w:bottom w:val="single" w:sz="4" w:space="0" w:color="auto"/>
            </w:tcBorders>
            <w:vAlign w:val="center"/>
          </w:tcPr>
          <w:p w:rsidR="00F46EAD" w:rsidRDefault="00F46EAD">
            <w:pPr>
              <w:jc w:val="both"/>
              <w:rPr>
                <w:rFonts w:ascii="Times New Roman" w:hAnsi="Times New Roman" w:cs="Times New Roman"/>
                <w:b/>
                <w:bCs/>
                <w:noProof/>
                <w:sz w:val="20"/>
                <w:szCs w:val="20"/>
              </w:rPr>
            </w:pPr>
          </w:p>
        </w:tc>
        <w:tc>
          <w:tcPr>
            <w:tcW w:w="1276" w:type="dxa"/>
            <w:tcBorders>
              <w:bottom w:val="single" w:sz="4" w:space="0" w:color="auto"/>
            </w:tcBorders>
            <w:vAlign w:val="center"/>
          </w:tcPr>
          <w:p w:rsidR="00F46EAD" w:rsidRDefault="00F46EAD">
            <w:pPr>
              <w:jc w:val="both"/>
              <w:rPr>
                <w:rFonts w:ascii="Times New Roman" w:hAnsi="Times New Roman" w:cs="Times New Roman"/>
                <w:b/>
                <w:bCs/>
                <w:noProof/>
                <w:sz w:val="20"/>
                <w:szCs w:val="20"/>
              </w:rPr>
            </w:pPr>
          </w:p>
        </w:tc>
      </w:tr>
      <w:tr w:rsidR="00F46EAD">
        <w:trPr>
          <w:gridAfter w:val="1"/>
          <w:wAfter w:w="11" w:type="dxa"/>
          <w:trHeight w:val="20"/>
          <w:jc w:val="center"/>
        </w:trPr>
        <w:tc>
          <w:tcPr>
            <w:tcW w:w="5245" w:type="dxa"/>
            <w:tcBorders>
              <w:top w:val="single" w:sz="4" w:space="0" w:color="auto"/>
              <w:left w:val="nil"/>
              <w:bottom w:val="nil"/>
              <w:right w:val="nil"/>
            </w:tcBorders>
            <w:vAlign w:val="center"/>
            <w:hideMark/>
          </w:tcPr>
          <w:p w:rsidR="00F46EAD" w:rsidRDefault="00F46EAD">
            <w:pPr>
              <w:jc w:val="both"/>
              <w:rPr>
                <w:rFonts w:ascii="Times New Roman" w:hAnsi="Times New Roman" w:cs="Times New Roman"/>
                <w:noProof/>
                <w:sz w:val="20"/>
                <w:szCs w:val="20"/>
              </w:rPr>
            </w:pPr>
          </w:p>
        </w:tc>
        <w:tc>
          <w:tcPr>
            <w:tcW w:w="1559" w:type="dxa"/>
            <w:tcBorders>
              <w:top w:val="single" w:sz="4" w:space="0" w:color="auto"/>
              <w:left w:val="nil"/>
              <w:bottom w:val="nil"/>
              <w:right w:val="nil"/>
            </w:tcBorders>
            <w:vAlign w:val="center"/>
            <w:hideMark/>
          </w:tcPr>
          <w:p w:rsidR="00F46EAD" w:rsidRDefault="00F46EAD">
            <w:pPr>
              <w:jc w:val="both"/>
              <w:rPr>
                <w:rFonts w:ascii="Times New Roman" w:hAnsi="Times New Roman" w:cs="Times New Roman"/>
                <w:noProof/>
                <w:sz w:val="20"/>
                <w:szCs w:val="20"/>
                <w:lang w:val="bs-Latn-BA"/>
              </w:rPr>
            </w:pPr>
          </w:p>
        </w:tc>
        <w:tc>
          <w:tcPr>
            <w:tcW w:w="3964" w:type="dxa"/>
            <w:gridSpan w:val="3"/>
            <w:tcBorders>
              <w:top w:val="single" w:sz="4" w:space="0" w:color="auto"/>
              <w:left w:val="nil"/>
              <w:bottom w:val="nil"/>
              <w:right w:val="nil"/>
            </w:tcBorders>
            <w:vAlign w:val="center"/>
            <w:hideMark/>
          </w:tcPr>
          <w:p w:rsidR="00F46EAD" w:rsidRDefault="00F46EAD">
            <w:pPr>
              <w:jc w:val="both"/>
              <w:rPr>
                <w:rFonts w:ascii="Times New Roman" w:hAnsi="Times New Roman" w:cs="Times New Roman"/>
                <w:noProof/>
                <w:sz w:val="20"/>
                <w:szCs w:val="20"/>
                <w:lang w:val="bs-Latn-BA"/>
              </w:rPr>
            </w:pPr>
          </w:p>
          <w:p w:rsidR="00F46EAD" w:rsidRDefault="004F5A9B">
            <w:pPr>
              <w:jc w:val="both"/>
              <w:rPr>
                <w:rFonts w:ascii="Times New Roman" w:hAnsi="Times New Roman" w:cs="Times New Roman"/>
                <w:noProof/>
                <w:sz w:val="20"/>
                <w:szCs w:val="20"/>
                <w:lang w:val="bs-Latn-BA"/>
              </w:rPr>
            </w:pPr>
            <w:r>
              <w:rPr>
                <w:rFonts w:ascii="Times New Roman" w:hAnsi="Times New Roman" w:cs="Times New Roman"/>
                <w:noProof/>
                <w:sz w:val="20"/>
                <w:szCs w:val="20"/>
                <w:lang w:val="bs-Latn-BA"/>
              </w:rPr>
              <w:t>Potpis odgovorne osobe:</w:t>
            </w:r>
          </w:p>
        </w:tc>
      </w:tr>
      <w:tr w:rsidR="00F46EAD">
        <w:trPr>
          <w:gridAfter w:val="1"/>
          <w:wAfter w:w="11" w:type="dxa"/>
          <w:trHeight w:val="20"/>
          <w:jc w:val="center"/>
        </w:trPr>
        <w:tc>
          <w:tcPr>
            <w:tcW w:w="5245" w:type="dxa"/>
            <w:tcBorders>
              <w:top w:val="nil"/>
              <w:left w:val="nil"/>
              <w:bottom w:val="nil"/>
              <w:right w:val="nil"/>
            </w:tcBorders>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Mjesto, datum:</w:t>
            </w:r>
          </w:p>
        </w:tc>
        <w:tc>
          <w:tcPr>
            <w:tcW w:w="1559" w:type="dxa"/>
            <w:tcBorders>
              <w:top w:val="nil"/>
              <w:left w:val="nil"/>
              <w:bottom w:val="nil"/>
              <w:right w:val="nil"/>
            </w:tcBorders>
            <w:vAlign w:val="center"/>
            <w:hideMark/>
          </w:tcPr>
          <w:p w:rsidR="00F46EAD" w:rsidRDefault="004F5A9B">
            <w:pPr>
              <w:jc w:val="both"/>
              <w:rPr>
                <w:rFonts w:ascii="Times New Roman" w:hAnsi="Times New Roman" w:cs="Times New Roman"/>
                <w:noProof/>
                <w:sz w:val="20"/>
                <w:szCs w:val="20"/>
                <w:lang w:val="bs-Latn-BA"/>
              </w:rPr>
            </w:pPr>
            <w:r>
              <w:rPr>
                <w:rFonts w:ascii="Times New Roman" w:hAnsi="Times New Roman" w:cs="Times New Roman"/>
                <w:noProof/>
                <w:sz w:val="20"/>
                <w:szCs w:val="20"/>
                <w:lang w:val="bs-Latn-BA"/>
              </w:rPr>
              <w:t>M.P.</w:t>
            </w:r>
          </w:p>
        </w:tc>
        <w:tc>
          <w:tcPr>
            <w:tcW w:w="3964" w:type="dxa"/>
            <w:gridSpan w:val="3"/>
            <w:tcBorders>
              <w:top w:val="nil"/>
              <w:left w:val="nil"/>
              <w:bottom w:val="nil"/>
              <w:right w:val="nil"/>
            </w:tcBorders>
            <w:vAlign w:val="center"/>
            <w:hideMark/>
          </w:tcPr>
          <w:p w:rsidR="00F46EAD" w:rsidRDefault="004F5A9B">
            <w:pPr>
              <w:jc w:val="both"/>
              <w:rPr>
                <w:rFonts w:ascii="Times New Roman" w:hAnsi="Times New Roman" w:cs="Times New Roman"/>
                <w:noProof/>
                <w:sz w:val="20"/>
                <w:szCs w:val="20"/>
                <w:lang w:val="bs-Latn-BA"/>
              </w:rPr>
            </w:pPr>
            <w:r>
              <w:rPr>
                <w:rFonts w:ascii="Times New Roman" w:hAnsi="Times New Roman" w:cs="Times New Roman"/>
                <w:noProof/>
                <w:sz w:val="20"/>
                <w:szCs w:val="20"/>
                <w:lang w:val="bs-Latn-BA"/>
              </w:rPr>
              <w:t>Ime i prezime:</w:t>
            </w:r>
          </w:p>
        </w:tc>
      </w:tr>
      <w:tr w:rsidR="00F46EAD">
        <w:trPr>
          <w:gridAfter w:val="1"/>
          <w:wAfter w:w="11" w:type="dxa"/>
          <w:trHeight w:val="20"/>
          <w:jc w:val="center"/>
        </w:trPr>
        <w:tc>
          <w:tcPr>
            <w:tcW w:w="5245" w:type="dxa"/>
            <w:tcBorders>
              <w:top w:val="nil"/>
              <w:left w:val="nil"/>
              <w:bottom w:val="nil"/>
              <w:right w:val="nil"/>
            </w:tcBorders>
            <w:vAlign w:val="center"/>
            <w:hideMark/>
          </w:tcPr>
          <w:p w:rsidR="00F46EAD" w:rsidRDefault="00F46EAD">
            <w:pPr>
              <w:jc w:val="both"/>
              <w:rPr>
                <w:rFonts w:ascii="Times New Roman" w:hAnsi="Times New Roman" w:cs="Times New Roman"/>
                <w:noProof/>
                <w:sz w:val="20"/>
                <w:szCs w:val="20"/>
              </w:rPr>
            </w:pPr>
          </w:p>
        </w:tc>
        <w:tc>
          <w:tcPr>
            <w:tcW w:w="1559" w:type="dxa"/>
            <w:tcBorders>
              <w:top w:val="nil"/>
              <w:left w:val="nil"/>
              <w:bottom w:val="nil"/>
              <w:right w:val="nil"/>
            </w:tcBorders>
            <w:vAlign w:val="center"/>
            <w:hideMark/>
          </w:tcPr>
          <w:p w:rsidR="00F46EAD" w:rsidRDefault="00F46EAD">
            <w:pPr>
              <w:jc w:val="both"/>
              <w:rPr>
                <w:rFonts w:ascii="Times New Roman" w:hAnsi="Times New Roman" w:cs="Times New Roman"/>
                <w:noProof/>
                <w:sz w:val="20"/>
                <w:szCs w:val="20"/>
                <w:lang w:val="bs-Latn-BA"/>
              </w:rPr>
            </w:pPr>
          </w:p>
        </w:tc>
        <w:tc>
          <w:tcPr>
            <w:tcW w:w="3964" w:type="dxa"/>
            <w:gridSpan w:val="3"/>
            <w:tcBorders>
              <w:top w:val="nil"/>
              <w:left w:val="nil"/>
              <w:bottom w:val="nil"/>
              <w:right w:val="nil"/>
            </w:tcBorders>
            <w:vAlign w:val="center"/>
            <w:hideMark/>
          </w:tcPr>
          <w:p w:rsidR="00F46EAD" w:rsidRDefault="004F5A9B">
            <w:pPr>
              <w:jc w:val="both"/>
              <w:rPr>
                <w:rFonts w:ascii="Times New Roman" w:hAnsi="Times New Roman" w:cs="Times New Roman"/>
                <w:noProof/>
                <w:sz w:val="20"/>
                <w:szCs w:val="20"/>
                <w:lang w:val="bs-Latn-BA"/>
              </w:rPr>
            </w:pPr>
            <w:r>
              <w:rPr>
                <w:rFonts w:ascii="Times New Roman" w:hAnsi="Times New Roman" w:cs="Times New Roman"/>
                <w:noProof/>
                <w:sz w:val="20"/>
                <w:szCs w:val="20"/>
                <w:lang w:val="bs-Latn-BA"/>
              </w:rPr>
              <w:t>Kontakt telefon:</w:t>
            </w:r>
          </w:p>
          <w:p w:rsidR="00F46EAD" w:rsidRDefault="00F46EAD">
            <w:pPr>
              <w:jc w:val="both"/>
              <w:rPr>
                <w:rFonts w:ascii="Times New Roman" w:hAnsi="Times New Roman" w:cs="Times New Roman"/>
                <w:noProof/>
                <w:sz w:val="20"/>
                <w:szCs w:val="20"/>
                <w:lang w:val="bs-Latn-BA"/>
              </w:rPr>
            </w:pPr>
          </w:p>
          <w:p w:rsidR="00F46EAD" w:rsidRDefault="00F46EAD">
            <w:pPr>
              <w:jc w:val="both"/>
              <w:rPr>
                <w:rFonts w:ascii="Times New Roman" w:hAnsi="Times New Roman" w:cs="Times New Roman"/>
                <w:noProof/>
                <w:sz w:val="20"/>
                <w:szCs w:val="20"/>
                <w:lang w:val="bs-Latn-BA"/>
              </w:rPr>
            </w:pPr>
          </w:p>
          <w:p w:rsidR="00F46EAD" w:rsidRDefault="00F46EAD">
            <w:pPr>
              <w:jc w:val="both"/>
              <w:rPr>
                <w:rFonts w:ascii="Times New Roman" w:hAnsi="Times New Roman" w:cs="Times New Roman"/>
                <w:noProof/>
                <w:sz w:val="20"/>
                <w:szCs w:val="20"/>
                <w:lang w:val="bs-Latn-BA"/>
              </w:rPr>
            </w:pPr>
          </w:p>
        </w:tc>
      </w:tr>
      <w:tr w:rsidR="00F46EAD">
        <w:trPr>
          <w:trHeight w:val="20"/>
          <w:jc w:val="center"/>
        </w:trPr>
        <w:tc>
          <w:tcPr>
            <w:tcW w:w="10779" w:type="dxa"/>
            <w:gridSpan w:val="6"/>
            <w:tcBorders>
              <w:top w:val="nil"/>
              <w:left w:val="nil"/>
              <w:bottom w:val="nil"/>
              <w:right w:val="nil"/>
            </w:tcBorders>
            <w:noWrap/>
            <w:vAlign w:val="center"/>
            <w:hideMark/>
          </w:tcPr>
          <w:p w:rsidR="00F46EAD" w:rsidRDefault="004F5A9B">
            <w:pPr>
              <w:jc w:val="both"/>
              <w:rPr>
                <w:rFonts w:ascii="Times New Roman" w:hAnsi="Times New Roman" w:cs="Times New Roman"/>
                <w:noProof/>
                <w:sz w:val="20"/>
                <w:szCs w:val="20"/>
              </w:rPr>
            </w:pPr>
            <w:r>
              <w:rPr>
                <w:rFonts w:ascii="Times New Roman" w:hAnsi="Times New Roman" w:cs="Times New Roman"/>
                <w:noProof/>
                <w:sz w:val="20"/>
                <w:szCs w:val="20"/>
              </w:rPr>
              <w:t>Iz osnovice za obračun obvezne rezerve isključuju se:</w:t>
            </w:r>
          </w:p>
          <w:p w:rsidR="00F46EAD" w:rsidRDefault="004F5A9B">
            <w:pPr>
              <w:numPr>
                <w:ilvl w:val="0"/>
                <w:numId w:val="9"/>
              </w:numPr>
              <w:jc w:val="both"/>
              <w:rPr>
                <w:rFonts w:ascii="Times New Roman" w:hAnsi="Times New Roman" w:cs="Times New Roman"/>
                <w:noProof/>
                <w:sz w:val="20"/>
                <w:szCs w:val="20"/>
              </w:rPr>
            </w:pPr>
            <w:r>
              <w:rPr>
                <w:rFonts w:ascii="Times New Roman" w:hAnsi="Times New Roman" w:cs="Times New Roman"/>
                <w:noProof/>
                <w:sz w:val="20"/>
                <w:szCs w:val="20"/>
              </w:rPr>
              <w:t>Dugoročni krediti od nerezidenata do 1992. godine i obveze po osnovi stare devizne štednje građana;</w:t>
            </w:r>
          </w:p>
          <w:p w:rsidR="00F46EAD" w:rsidRDefault="004F5A9B">
            <w:pPr>
              <w:numPr>
                <w:ilvl w:val="0"/>
                <w:numId w:val="9"/>
              </w:numPr>
              <w:jc w:val="both"/>
              <w:rPr>
                <w:rFonts w:ascii="Times New Roman" w:hAnsi="Times New Roman" w:cs="Times New Roman"/>
                <w:noProof/>
                <w:sz w:val="20"/>
                <w:szCs w:val="20"/>
              </w:rPr>
            </w:pPr>
            <w:r>
              <w:rPr>
                <w:rFonts w:ascii="Times New Roman" w:hAnsi="Times New Roman" w:cs="Times New Roman"/>
                <w:noProof/>
                <w:sz w:val="20"/>
                <w:szCs w:val="20"/>
              </w:rPr>
              <w:t>Krediti inobanaka koji su dobijeni preko ministarstava financija vlada entiteta – banka je samo posrednik, dok je vlada entiteta garant i dužnik.</w:t>
            </w:r>
          </w:p>
        </w:tc>
      </w:tr>
      <w:tr w:rsidR="00F46EAD">
        <w:trPr>
          <w:trHeight w:val="121"/>
          <w:jc w:val="center"/>
        </w:trPr>
        <w:tc>
          <w:tcPr>
            <w:tcW w:w="10779" w:type="dxa"/>
            <w:gridSpan w:val="6"/>
            <w:tcBorders>
              <w:top w:val="nil"/>
              <w:left w:val="nil"/>
              <w:bottom w:val="nil"/>
              <w:right w:val="nil"/>
            </w:tcBorders>
            <w:noWrap/>
            <w:vAlign w:val="center"/>
          </w:tcPr>
          <w:p w:rsidR="00F46EAD" w:rsidRDefault="00F46EAD">
            <w:pPr>
              <w:jc w:val="both"/>
              <w:rPr>
                <w:rFonts w:ascii="Times New Roman" w:hAnsi="Times New Roman" w:cs="Times New Roman"/>
                <w:strike/>
                <w:noProof/>
                <w:sz w:val="20"/>
                <w:szCs w:val="20"/>
              </w:rPr>
            </w:pPr>
          </w:p>
        </w:tc>
      </w:tr>
    </w:tbl>
    <w:p w:rsidR="00F46EAD" w:rsidRDefault="00F46EAD">
      <w:pPr>
        <w:spacing w:after="0" w:line="240" w:lineRule="auto"/>
        <w:rPr>
          <w:rFonts w:ascii="Times New Roman" w:hAnsi="Times New Roman" w:cs="Times New Roman"/>
          <w:sz w:val="24"/>
          <w:szCs w:val="24"/>
        </w:rPr>
      </w:pPr>
    </w:p>
    <w:sectPr w:rsidR="00F46EAD">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956" w:rsidRDefault="003F7956">
      <w:pPr>
        <w:spacing w:after="0" w:line="240" w:lineRule="auto"/>
      </w:pPr>
      <w:r>
        <w:separator/>
      </w:r>
    </w:p>
  </w:endnote>
  <w:endnote w:type="continuationSeparator" w:id="0">
    <w:p w:rsidR="003F7956" w:rsidRDefault="003F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956" w:rsidRDefault="003F7956">
      <w:pPr>
        <w:spacing w:after="0" w:line="240" w:lineRule="auto"/>
      </w:pPr>
      <w:r>
        <w:separator/>
      </w:r>
    </w:p>
  </w:footnote>
  <w:footnote w:type="continuationSeparator" w:id="0">
    <w:p w:rsidR="003F7956" w:rsidRDefault="003F7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45F"/>
    <w:multiLevelType w:val="hybridMultilevel"/>
    <w:tmpl w:val="D10C318A"/>
    <w:lvl w:ilvl="0" w:tplc="EEC80D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2A88"/>
    <w:multiLevelType w:val="hybridMultilevel"/>
    <w:tmpl w:val="4DFC227A"/>
    <w:lvl w:ilvl="0" w:tplc="192CEBBE">
      <w:start w:val="1"/>
      <w:numFmt w:val="lowerLetter"/>
      <w:lvlText w:val="%1)"/>
      <w:lvlJc w:val="left"/>
      <w:pPr>
        <w:ind w:left="720" w:hanging="360"/>
      </w:pPr>
      <w:rPr>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9B108FB"/>
    <w:multiLevelType w:val="hybridMultilevel"/>
    <w:tmpl w:val="67267D5C"/>
    <w:lvl w:ilvl="0" w:tplc="B4B4CED6">
      <w:start w:val="1"/>
      <w:numFmt w:val="lowerLetter"/>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F6F4E01"/>
    <w:multiLevelType w:val="hybridMultilevel"/>
    <w:tmpl w:val="73088C94"/>
    <w:lvl w:ilvl="0" w:tplc="8B98B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6D2E"/>
    <w:multiLevelType w:val="hybridMultilevel"/>
    <w:tmpl w:val="830271B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B705D0D"/>
    <w:multiLevelType w:val="hybridMultilevel"/>
    <w:tmpl w:val="F6388808"/>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23FF263A"/>
    <w:multiLevelType w:val="hybridMultilevel"/>
    <w:tmpl w:val="7FC08D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941C0"/>
    <w:multiLevelType w:val="hybridMultilevel"/>
    <w:tmpl w:val="477CC88A"/>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CD443F6"/>
    <w:multiLevelType w:val="hybridMultilevel"/>
    <w:tmpl w:val="C8564204"/>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D2388"/>
    <w:multiLevelType w:val="hybridMultilevel"/>
    <w:tmpl w:val="3884939A"/>
    <w:lvl w:ilvl="0" w:tplc="47FE6A52">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682E7E6D"/>
    <w:multiLevelType w:val="hybridMultilevel"/>
    <w:tmpl w:val="C0AE623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6A952176"/>
    <w:multiLevelType w:val="hybridMultilevel"/>
    <w:tmpl w:val="F5B0257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79D06B99"/>
    <w:multiLevelType w:val="hybridMultilevel"/>
    <w:tmpl w:val="341EB35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7CBE62AF"/>
    <w:multiLevelType w:val="hybridMultilevel"/>
    <w:tmpl w:val="3B7C82C0"/>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13"/>
  </w:num>
  <w:num w:numId="5">
    <w:abstractNumId w:val="10"/>
  </w:num>
  <w:num w:numId="6">
    <w:abstractNumId w:val="4"/>
  </w:num>
  <w:num w:numId="7">
    <w:abstractNumId w:val="7"/>
  </w:num>
  <w:num w:numId="8">
    <w:abstractNumId w:val="2"/>
  </w:num>
  <w:num w:numId="9">
    <w:abstractNumId w:val="0"/>
  </w:num>
  <w:num w:numId="10">
    <w:abstractNumId w:val="1"/>
  </w:num>
  <w:num w:numId="11">
    <w:abstractNumId w:val="8"/>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AD"/>
    <w:rsid w:val="00243B34"/>
    <w:rsid w:val="003F7956"/>
    <w:rsid w:val="004F5A9B"/>
    <w:rsid w:val="005D6DE7"/>
    <w:rsid w:val="00F46EA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14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semiHidden/>
    <w:pPr>
      <w:spacing w:after="0" w:line="240" w:lineRule="auto"/>
    </w:pPr>
    <w:rPr>
      <w:rFonts w:ascii="Arial" w:eastAsia="Times New Roman" w:hAnsi="Arial" w:cs="Times New Roman"/>
      <w:sz w:val="24"/>
      <w:szCs w:val="20"/>
      <w:lang w:val="sl-SI"/>
    </w:rPr>
  </w:style>
  <w:style w:type="character" w:customStyle="1" w:styleId="BodyTextChar">
    <w:name w:val="Body Text Char"/>
    <w:basedOn w:val="DefaultParagraphFont"/>
    <w:link w:val="BodyText"/>
    <w:semiHidden/>
    <w:rPr>
      <w:rFonts w:ascii="Arial" w:eastAsia="Times New Roman" w:hAnsi="Arial" w:cs="Times New Roman"/>
      <w:sz w:val="24"/>
      <w:szCs w:val="20"/>
      <w:lang w:val="sl-SI"/>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0F8A-74D5-459A-A7B5-775F8907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2023-06-09T07:56:00Z</dcterms:created>
  <dcterms:modified xsi:type="dcterms:W3CDTF">2023-06-09T07:58:00Z</dcterms:modified>
</cp:coreProperties>
</file>