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jc w:val="both"/>
        <w:rPr>
          <w:rFonts w:ascii="Times New Roman" w:hAnsi="Times New Roman"/>
          <w:color w:val="000000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 xml:space="preserve">Na osnovu člana 7. tačka b) i člana 36. Zakona o Centralnoj banci Bosne i Hercegovine </w:t>
      </w:r>
      <w:r>
        <w:rPr>
          <w:rFonts w:ascii="Times New Roman" w:hAnsi="Times New Roman"/>
          <w:color w:val="000000"/>
          <w:szCs w:val="24"/>
          <w:lang w:val="bs-Latn-BA"/>
        </w:rPr>
        <w:t>(„Službeni glasnik BiH“, br. 1/97, 29/02, 8/03, 13/03, 14/03, 9/05, 76/06 i 32/07), Upravno vijeće Centralne banke Bosne i Hercegovine, na 14. sjednici održanoj dana 27.10.2021. godine, donosi</w:t>
      </w:r>
    </w:p>
    <w:p>
      <w:pPr>
        <w:pStyle w:val="BodyText"/>
        <w:rPr>
          <w:rFonts w:ascii="Times New Roman" w:hAnsi="Times New Roman"/>
          <w:szCs w:val="24"/>
          <w:lang w:val="bs-Latn-BA"/>
        </w:rPr>
      </w:pPr>
    </w:p>
    <w:p>
      <w:pPr>
        <w:pStyle w:val="BodyText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pacing w:val="40"/>
          <w:szCs w:val="24"/>
          <w:lang w:val="bs-Latn-BA"/>
        </w:rPr>
      </w:pPr>
      <w:r>
        <w:rPr>
          <w:rFonts w:ascii="Times New Roman" w:hAnsi="Times New Roman"/>
          <w:b/>
          <w:spacing w:val="40"/>
          <w:szCs w:val="24"/>
          <w:lang w:val="bs-Latn-BA"/>
        </w:rPr>
        <w:t>ODLUKU</w:t>
      </w: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o utvrđivanju i održavanju obaveznih rezervi i</w:t>
      </w: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utvrđivanju naknade na iznos rezerve</w:t>
      </w:r>
    </w:p>
    <w:p>
      <w:pPr>
        <w:pStyle w:val="BodyText"/>
        <w:jc w:val="center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1.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Ovom odlukom, u skladu s članom 36. Zakona o Centralnoj banci Bosne i Hercegovine, uređuje se način obračunavanja i držanja obaveznih rezervi i utvrđivanje naknade Centralne banke Bosne i Hercegovine (u daljem tekstu: Centralna banka) bankama na iznos rezerve.</w:t>
      </w:r>
    </w:p>
    <w:p>
      <w:pPr>
        <w:pStyle w:val="BodyText"/>
        <w:jc w:val="both"/>
        <w:rPr>
          <w:rFonts w:ascii="Times New Roman" w:hAnsi="Times New Roman"/>
          <w:b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2.</w:t>
      </w:r>
    </w:p>
    <w:p>
      <w:pPr>
        <w:pStyle w:val="BodyText"/>
        <w:jc w:val="both"/>
        <w:rPr>
          <w:rFonts w:ascii="Times New Roman" w:hAnsi="Times New Roman"/>
          <w:szCs w:val="24"/>
          <w:u w:val="single"/>
          <w:lang w:val="bs-Latn-BA"/>
        </w:rPr>
      </w:pPr>
      <w:r>
        <w:rPr>
          <w:rFonts w:ascii="Times New Roman" w:hAnsi="Times New Roman"/>
          <w:szCs w:val="24"/>
          <w:lang w:val="bs-Latn-BA"/>
        </w:rPr>
        <w:t>Banka koja ima dozvolu nadležne agencije za bankarstvo za obavljanje bankarskih poslova dužna je da na računu rezervi kod Centralne banke drži sredstva radi ispunjavanja obavezne rezerve u nivou i na način utvrđen ovom odlukom.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3.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(1) Osnovicu za obračun obavezne rezerve čine depoziti i pozajmljena sredstva, bez obzira u kojoj se valuti sredstva izraze.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(2) Obavezna rezerva se obračunava prema stanju sredstava iz stava (1) ovog člana na kraju svakog radnog dana u toku obračunskog perioda koji prethodi periodu održavanja.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(3) Obračunski period (period obračuna obaveznih rezervi) započinje svakog mjeseca u dane prvog, jedanaestog i dvadesetprvog, a završava se desetog, dvadesetog i posljednjeg dana u mjesecu.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4.</w:t>
      </w:r>
    </w:p>
    <w:p>
      <w:pPr>
        <w:pStyle w:val="BodyText"/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 xml:space="preserve">Banka je obavezna da nakon svakog obračunskog perioda, a najkasnije u roku od tri radna dana po isteku perioda obračuna, dostavi Centralnoj banci izvještaj o stanju depozita i pozajmljenih sredstava izraženih u konvertibilnim markama na obrascu „Izvještaj za obračun obavezne rezerve“, propisanom ovom odlukom, koji čini njen sastavni dio. </w:t>
      </w:r>
    </w:p>
    <w:p>
      <w:pPr>
        <w:pStyle w:val="BodyText"/>
        <w:jc w:val="center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5.</w:t>
      </w:r>
    </w:p>
    <w:p>
      <w:pPr>
        <w:jc w:val="both"/>
        <w:rPr>
          <w:lang w:val="bs-Latn-BA"/>
        </w:rPr>
      </w:pPr>
      <w:r>
        <w:rPr>
          <w:bCs/>
          <w:lang w:val="bs-Latn-BA"/>
        </w:rPr>
        <w:t xml:space="preserve">Stopa obavezne rezerve koju primjenjuje Centralna banka na osnovicu za obračun obavezne rezerve iz člana 3. stav (1) ove odluke iznosi </w:t>
      </w:r>
      <w:r>
        <w:rPr>
          <w:lang w:val="bs-Latn-BA"/>
        </w:rPr>
        <w:t>10%.</w:t>
      </w:r>
    </w:p>
    <w:p>
      <w:pPr>
        <w:tabs>
          <w:tab w:val="left" w:pos="9350"/>
        </w:tabs>
        <w:ind w:right="-103"/>
        <w:jc w:val="both"/>
        <w:rPr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6.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Sredstva kojima banka može održavati obaveznu rezervu jesu potražni saldo sredstava te banke na računu rezervi kod Centralne banke na kraju svakog radnog dana.</w:t>
      </w:r>
    </w:p>
    <w:p>
      <w:pPr>
        <w:pStyle w:val="BodyText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7.</w:t>
      </w:r>
    </w:p>
    <w:p>
      <w:pPr>
        <w:jc w:val="both"/>
        <w:rPr>
          <w:lang w:val="bs-Latn-BA"/>
        </w:rPr>
      </w:pPr>
      <w:r>
        <w:rPr>
          <w:lang w:val="bs-Latn-BA"/>
        </w:rPr>
        <w:t>(1) Centralna banka na računu rezervi banke u obračunskom periodu:</w:t>
      </w:r>
    </w:p>
    <w:p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sredstva obavezne rezerve po osnovu osnovice u domaćoj valuti, KM – ne obračunava naknadu,</w:t>
      </w:r>
    </w:p>
    <w:p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sredstva obavezne rezerve po osnovu osnovice u stranim valutama i u domaćoj valuti s valutnom klauzulom – obračunava naknadu po stopi koju primjenjuje Evropska </w:t>
      </w:r>
      <w:r>
        <w:rPr>
          <w:rFonts w:ascii="Times New Roman" w:eastAsia="Times New Roman" w:hAnsi="Times New Roman"/>
          <w:sz w:val="24"/>
          <w:szCs w:val="24"/>
        </w:rPr>
        <w:lastRenderedPageBreak/>
        <w:t>centralna banka na depozite komercijalnih banaka (Deposit Facility Rate) umanjenu za 10 baznih poena i</w:t>
      </w:r>
    </w:p>
    <w:p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sredstva iznad obavezne rezerve – obračunava naknadu po stopi koju primjenjuje Evropska centralna banka na depozite komercijalnih banaka (Deposit Facility Rate) umanjenu za 25 baznih poena.</w:t>
      </w:r>
    </w:p>
    <w:p>
      <w:pPr>
        <w:jc w:val="both"/>
        <w:rPr>
          <w:lang w:val="bs-Latn-BA"/>
        </w:rPr>
      </w:pPr>
      <w:r>
        <w:rPr>
          <w:lang w:val="bs-Latn-BA"/>
        </w:rPr>
        <w:t xml:space="preserve">(2) </w:t>
      </w:r>
      <w:r>
        <w:rPr>
          <w:szCs w:val="20"/>
          <w:lang w:val="bs-Latn-BA"/>
        </w:rPr>
        <w:t>Ukoliko u toku perioda održavanja dođe do promjene vrijednosti Deposit Facility Rate, primjenjuje se stopa koja je važila na prvi dan perioda održavanja tokom kojeg je došlo do promjene Deposit Facility Rate.</w:t>
      </w:r>
    </w:p>
    <w:p>
      <w:pPr>
        <w:jc w:val="both"/>
        <w:rPr>
          <w:lang w:val="bs-Latn-BA" w:eastAsia="bs-Latn-BA"/>
        </w:rPr>
      </w:pPr>
    </w:p>
    <w:p>
      <w:pPr>
        <w:pStyle w:val="BodyText"/>
        <w:jc w:val="center"/>
        <w:rPr>
          <w:rFonts w:ascii="Times New Roman" w:hAnsi="Times New Roman"/>
          <w:b/>
          <w:bCs/>
          <w:szCs w:val="24"/>
          <w:lang w:val="bs-Latn-BA"/>
        </w:rPr>
      </w:pPr>
      <w:r>
        <w:rPr>
          <w:rFonts w:ascii="Times New Roman" w:hAnsi="Times New Roman"/>
          <w:b/>
          <w:bCs/>
          <w:szCs w:val="24"/>
          <w:lang w:val="bs-Latn-BA"/>
        </w:rPr>
        <w:t>Član 8.</w:t>
      </w:r>
    </w:p>
    <w:p>
      <w:pPr>
        <w:pStyle w:val="BodyText"/>
        <w:jc w:val="both"/>
        <w:rPr>
          <w:rFonts w:ascii="Times New Roman" w:hAnsi="Times New Roman"/>
          <w:color w:val="000000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 xml:space="preserve">Centralna banka za iznos naknade iz člana 7. ove odluke vrši promjene stanja računa rezervi banke </w:t>
      </w:r>
      <w:r>
        <w:rPr>
          <w:rFonts w:ascii="Times New Roman" w:hAnsi="Times New Roman"/>
          <w:color w:val="000000"/>
          <w:szCs w:val="24"/>
          <w:lang w:val="bs-Latn-BA"/>
        </w:rPr>
        <w:t xml:space="preserve">u roku do pet dana, </w:t>
      </w:r>
      <w:r>
        <w:rPr>
          <w:rFonts w:ascii="Times New Roman" w:hAnsi="Times New Roman"/>
          <w:szCs w:val="24"/>
          <w:lang w:val="bs-Latn-BA"/>
        </w:rPr>
        <w:t>računajući od posljednjeg dana u mjesecu u kojem se banci tokom perioda održavanja obavezne rezerve obračunavala naknada</w:t>
      </w:r>
      <w:r>
        <w:rPr>
          <w:rFonts w:ascii="Times New Roman" w:hAnsi="Times New Roman"/>
          <w:color w:val="000000"/>
          <w:szCs w:val="24"/>
          <w:lang w:val="bs-Latn-BA"/>
        </w:rPr>
        <w:t>.</w:t>
      </w:r>
    </w:p>
    <w:p>
      <w:pPr>
        <w:pStyle w:val="BodyText"/>
        <w:jc w:val="both"/>
        <w:rPr>
          <w:rFonts w:ascii="Times New Roman" w:hAnsi="Times New Roman"/>
          <w:color w:val="000000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9.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Banka nije ispunila obaveznu rezervu ukoliko u periodu održavanja obavezne rezerve ne obezbijedi ukupna sredstva na računu rezervi kod Centralne banke, ako Centralnoj banci blagovremeno ne dostavi propisani obrazac Izvještaja za obračun obavezne rezerve</w:t>
      </w:r>
      <w:r>
        <w:rPr>
          <w:rFonts w:ascii="Times New Roman" w:hAnsi="Times New Roman"/>
          <w:color w:val="FF0000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i ako ne izmiri kaznene kamate.</w:t>
      </w:r>
    </w:p>
    <w:p>
      <w:pPr>
        <w:pStyle w:val="BodyText"/>
        <w:jc w:val="both"/>
        <w:rPr>
          <w:rFonts w:ascii="Times New Roman" w:hAnsi="Times New Roman"/>
          <w:color w:val="000000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10.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(1) Guverner Centralne banke je obavezan najmanje jedanput tromjesečno podnositi Upravnom vijeću izvještaj o primjeni ove odluke.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(2) Kada banka ne ispuni obaveznu rezervu, Centralna banka preduzima mjere propisane članom 36. tačkom 5. Zakona o Centralnoj banci Bosne i Hercegovine.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11.</w:t>
      </w:r>
    </w:p>
    <w:p>
      <w:pPr>
        <w:pStyle w:val="BodyText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U smislu ove odluke značenje pojedinih pojmova je kako slijedi: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banka</w:t>
      </w:r>
      <w:r>
        <w:rPr>
          <w:rFonts w:ascii="Times New Roman" w:hAnsi="Times New Roman"/>
          <w:sz w:val="24"/>
          <w:szCs w:val="24"/>
        </w:rPr>
        <w:t xml:space="preserve"> – komercijalna banka koja ima dozvolu za rad od Agencije za bankarstvo Federacije Bosne i Hercegovine ili Agencije za bankarstvo Republike Srpske,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račun rezervi</w:t>
      </w:r>
      <w:r>
        <w:rPr>
          <w:rFonts w:ascii="Times New Roman" w:hAnsi="Times New Roman"/>
          <w:sz w:val="24"/>
          <w:szCs w:val="24"/>
        </w:rPr>
        <w:t xml:space="preserve"> – račun na kojem banka drži svoje rezerve kod Centralne banke,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obavezna rezerva</w:t>
      </w:r>
      <w:r>
        <w:rPr>
          <w:rFonts w:ascii="Times New Roman" w:hAnsi="Times New Roman"/>
          <w:sz w:val="24"/>
          <w:szCs w:val="24"/>
        </w:rPr>
        <w:t xml:space="preserve"> – minimalan iznos sredstava koje banka mora držati na računu rezervi kod Centralne banke,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osnovica za obračun obavezne rezerve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prosjek depozita banke i pozajmljenih sredstava banke bez obzira na valutu u kojoj su sredstva izražena, prema izvještaju koji banka dostavlja Centralnoj banci na propisanom obrascu, a na koje se obračunava obaveza. Dio osnovice koji drže u stranim sredstvima plaćanja banke izražavaju u KM i obračunavaju prema kursnoj listi Centralne banke koja je važila u vrijeme trajanja obračunskog perioda,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prosječno stanje – prosjek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zbir knjigovodstvenih stanja depozita i pozajmljenih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sredstava prema izvještaju za obračun obavezne rezerve, za svaki radni dan podijeljen s brojem radnih dana u periodu obračuna,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ukupna obavezna rezerva</w:t>
      </w:r>
      <w:r>
        <w:rPr>
          <w:rFonts w:ascii="Times New Roman" w:hAnsi="Times New Roman"/>
          <w:sz w:val="24"/>
          <w:szCs w:val="24"/>
        </w:rPr>
        <w:t xml:space="preserve"> banke predstavlja zbir prosječnih dnevnih obaveza za radne dane u toku perioda održavanja,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prosječna dnevna obavezna rezerva</w:t>
      </w:r>
      <w:r>
        <w:rPr>
          <w:rFonts w:ascii="Times New Roman" w:hAnsi="Times New Roman"/>
          <w:sz w:val="24"/>
          <w:szCs w:val="24"/>
        </w:rPr>
        <w:t xml:space="preserve"> banke izračunava se množenjem osnovice za obračun obavezne rezerve sa stopom obavezne rezerve,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održavanje obavezne rezerve</w:t>
      </w:r>
      <w:r>
        <w:rPr>
          <w:rFonts w:ascii="Times New Roman" w:hAnsi="Times New Roman"/>
          <w:sz w:val="24"/>
          <w:szCs w:val="24"/>
        </w:rPr>
        <w:t xml:space="preserve"> – držanje propisanog nivoa novčanih depozita kod Centralne banke, a koji se obračunavaju kao dnevne prosječne rezerve u obračunskom periodu,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ispunjavanje obavezne rezerve </w:t>
      </w:r>
      <w:r>
        <w:rPr>
          <w:rFonts w:ascii="Times New Roman" w:hAnsi="Times New Roman"/>
          <w:sz w:val="24"/>
          <w:szCs w:val="24"/>
        </w:rPr>
        <w:t xml:space="preserve">– ispunjavanje svih uslova koje je postavila Centralna banka za održavanje obavezne rezerve u pogledu obezbjeđenja zahtijevanog iznosa sredstava rezervi, dostavljanja propisanih izvještaja u propisanim rokovima, </w:t>
      </w:r>
      <w:r>
        <w:rPr>
          <w:rFonts w:ascii="Times New Roman" w:hAnsi="Times New Roman"/>
          <w:bCs/>
          <w:sz w:val="24"/>
          <w:szCs w:val="24"/>
        </w:rPr>
        <w:t>izmirenje kaznene kamate,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stopa obavezne rezerve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procenat koji se primjenjuje na osnovicu za utvrđivanje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znosa obavezne rezerve,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 obračuna obaveznih rezervi</w:t>
      </w:r>
      <w:r>
        <w:rPr>
          <w:rFonts w:ascii="Times New Roman" w:hAnsi="Times New Roman"/>
          <w:sz w:val="24"/>
          <w:szCs w:val="24"/>
        </w:rPr>
        <w:t xml:space="preserve"> – period održavanja obaveznih rezervi koji prethodi održavanju obaveznih rezervi, za koji se dostavljaju podaci o osnovici za utvrđivanje obavezne rezerve,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period održavanja obavezne rezerve </w:t>
      </w:r>
      <w:r>
        <w:rPr>
          <w:rFonts w:ascii="Times New Roman" w:hAnsi="Times New Roman"/>
          <w:sz w:val="24"/>
          <w:szCs w:val="24"/>
        </w:rPr>
        <w:t>– period u kojem je banka dužna održavati obaveznu rezervu, a koji započinje svakog mjeseca u dane prvog, jedanaestog i dvadesetprvog, a završava se desetog, dvadesetog i posljednjeg dana u mjesecu,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naknada </w:t>
      </w:r>
      <w:r>
        <w:rPr>
          <w:rFonts w:ascii="Times New Roman" w:hAnsi="Times New Roman"/>
          <w:sz w:val="24"/>
          <w:szCs w:val="24"/>
        </w:rPr>
        <w:t>– kamata koju Centralna banka primjenjuje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iznos sredstava te banke na računu rezervi kod Centralne banke, jedanput mjesečno u roku do pet dana nakon završetka mjeseca,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stopa naknade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stopa koja se primjenjuje na obaveznu rezervu, odnosno na iznos sredstava iznad obavezne rezerve,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kaznena kamata </w:t>
      </w:r>
      <w:r>
        <w:rPr>
          <w:rFonts w:ascii="Times New Roman" w:hAnsi="Times New Roman"/>
          <w:sz w:val="24"/>
          <w:szCs w:val="24"/>
        </w:rPr>
        <w:t>– novčana kazna za banku koja ne održava obaveznu rezervu na propisanom nivou,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radni dan</w:t>
      </w:r>
      <w:r>
        <w:rPr>
          <w:rFonts w:ascii="Times New Roman" w:hAnsi="Times New Roman"/>
          <w:sz w:val="24"/>
          <w:szCs w:val="24"/>
        </w:rPr>
        <w:t xml:space="preserve"> – svaki dan kada Centralna banka vrši transakcije na računima rezervi.</w:t>
      </w:r>
    </w:p>
    <w:p>
      <w:pPr>
        <w:jc w:val="both"/>
        <w:rPr>
          <w:lang w:val="bs-Latn-BA"/>
        </w:rPr>
      </w:pP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Član 12.</w:t>
      </w:r>
    </w:p>
    <w:p>
      <w:pPr>
        <w:jc w:val="both"/>
        <w:rPr>
          <w:lang w:val="bs-Latn-BA"/>
        </w:rPr>
      </w:pPr>
      <w:r>
        <w:rPr>
          <w:lang w:val="bs-Latn-BA"/>
        </w:rPr>
        <w:t>Ovlašćuje se guverner Centralne banke da donese propis za primjenu ove odluke.</w:t>
      </w:r>
    </w:p>
    <w:p>
      <w:pPr>
        <w:jc w:val="both"/>
        <w:rPr>
          <w:lang w:val="bs-Latn-BA"/>
        </w:rPr>
      </w:pPr>
    </w:p>
    <w:p>
      <w:pPr>
        <w:pStyle w:val="BodyText"/>
        <w:jc w:val="center"/>
        <w:rPr>
          <w:rFonts w:ascii="Times New Roman" w:hAnsi="Times New Roman"/>
          <w:b/>
          <w:bCs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13.</w:t>
      </w:r>
    </w:p>
    <w:p>
      <w:pPr>
        <w:pStyle w:val="BodyText"/>
        <w:tabs>
          <w:tab w:val="left" w:pos="9350"/>
        </w:tabs>
        <w:ind w:right="-103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Ova odluka stupa na snagu osmog dana od dana objavljivanja u „Službenom glasniku BiH“, a primjenjuje se od 01.01.2022. godine.</w:t>
      </w:r>
    </w:p>
    <w:p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szCs w:val="24"/>
          <w:lang w:val="bs-Latn-BA"/>
        </w:rPr>
      </w:pPr>
    </w:p>
    <w:p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Član 14.</w:t>
      </w:r>
    </w:p>
    <w:p>
      <w:pPr>
        <w:jc w:val="both"/>
        <w:rPr>
          <w:lang w:val="bs-Latn-BA"/>
        </w:rPr>
      </w:pPr>
      <w:r>
        <w:rPr>
          <w:lang w:val="bs-Latn-BA"/>
        </w:rPr>
        <w:t>Ova odluka se objavljuje i u „Službenim novinama Federacije BiH“, „Službenom glasniku Republike Srpske“ i „Službenom glasniku Brčko distrikta Bosne i Hercegovine“.</w:t>
      </w:r>
    </w:p>
    <w:p>
      <w:pPr>
        <w:rPr>
          <w:lang w:val="bs-Latn-BA"/>
        </w:rPr>
      </w:pP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Član 15.</w:t>
      </w:r>
    </w:p>
    <w:p>
      <w:pPr>
        <w:jc w:val="both"/>
        <w:rPr>
          <w:lang w:val="bs-Latn-BA"/>
        </w:rPr>
      </w:pPr>
      <w:r>
        <w:rPr>
          <w:lang w:val="bs-Latn-BA"/>
        </w:rPr>
        <w:t>Danom početka primjene ove odluke prestaje da važi Odluka o utvrđivanju i održavanju obaveznih rezervi i utvrđivanju naknade na iznos rezerve („Službeni glasnik BiH“, br. 30/16, 48/16, 27/19, 4/20, 24/21 i 31/21).</w:t>
      </w:r>
      <w:bookmarkStart w:id="0" w:name="_GoBack"/>
      <w:bookmarkEnd w:id="0"/>
    </w:p>
    <w:p>
      <w:pPr>
        <w:jc w:val="both"/>
        <w:rPr>
          <w:b/>
          <w:bCs/>
          <w:lang w:val="bs-Latn-BA"/>
        </w:rPr>
      </w:pPr>
    </w:p>
    <w:p>
      <w:pPr>
        <w:rPr>
          <w:bCs/>
          <w:lang w:val="bs-Latn-BA"/>
        </w:rPr>
      </w:pPr>
    </w:p>
    <w:p>
      <w:pPr>
        <w:rPr>
          <w:bCs/>
          <w:lang w:val="bs-Latn-BA"/>
        </w:rPr>
      </w:pPr>
    </w:p>
    <w:p>
      <w:pPr>
        <w:tabs>
          <w:tab w:val="center" w:pos="7088"/>
        </w:tabs>
        <w:rPr>
          <w:bCs/>
          <w:lang w:val="bs-Latn-BA"/>
        </w:rPr>
      </w:pPr>
      <w:r>
        <w:rPr>
          <w:bCs/>
          <w:lang w:val="bs-Latn-BA"/>
        </w:rPr>
        <w:tab/>
        <w:t>Predsjedavajući</w:t>
      </w:r>
    </w:p>
    <w:p>
      <w:pPr>
        <w:tabs>
          <w:tab w:val="center" w:pos="7088"/>
        </w:tabs>
        <w:rPr>
          <w:bCs/>
          <w:lang w:val="bs-Latn-BA"/>
        </w:rPr>
      </w:pPr>
      <w:r>
        <w:rPr>
          <w:bCs/>
          <w:lang w:val="bs-Latn-BA"/>
        </w:rPr>
        <w:tab/>
        <w:t>Upravnog vijeća Centralne banke</w:t>
      </w:r>
    </w:p>
    <w:p>
      <w:pPr>
        <w:tabs>
          <w:tab w:val="center" w:pos="7088"/>
        </w:tabs>
        <w:rPr>
          <w:bCs/>
          <w:lang w:val="bs-Latn-BA"/>
        </w:rPr>
      </w:pPr>
      <w:r>
        <w:rPr>
          <w:lang w:val="bs-Latn-BA"/>
        </w:rPr>
        <w:t>Broj: UV-122-01-1-2090-18/21</w:t>
      </w:r>
      <w:r>
        <w:rPr>
          <w:lang w:val="bs-Latn-BA"/>
        </w:rPr>
        <w:tab/>
      </w:r>
      <w:r>
        <w:rPr>
          <w:bCs/>
          <w:lang w:val="bs-Latn-BA"/>
        </w:rPr>
        <w:t>Bosne i Hercegovine</w:t>
      </w:r>
    </w:p>
    <w:p>
      <w:pPr>
        <w:tabs>
          <w:tab w:val="center" w:pos="7088"/>
        </w:tabs>
        <w:rPr>
          <w:bCs/>
          <w:lang w:val="bs-Latn-BA"/>
        </w:rPr>
      </w:pPr>
      <w:r>
        <w:rPr>
          <w:lang w:val="bs-Latn-BA"/>
        </w:rPr>
        <w:t>Sarajevo, 27.10.2021. godine</w:t>
      </w:r>
    </w:p>
    <w:p>
      <w:pPr>
        <w:tabs>
          <w:tab w:val="center" w:pos="7088"/>
        </w:tabs>
        <w:rPr>
          <w:bCs/>
          <w:lang w:val="bs-Latn-BA"/>
        </w:rPr>
      </w:pPr>
      <w:r>
        <w:rPr>
          <w:bCs/>
          <w:lang w:val="bs-Latn-BA"/>
        </w:rPr>
        <w:tab/>
      </w:r>
      <w:r>
        <w:rPr>
          <w:lang w:val="bs-Latn-BA"/>
        </w:rPr>
        <w:t>GUVERNER</w:t>
      </w:r>
    </w:p>
    <w:p>
      <w:pPr>
        <w:tabs>
          <w:tab w:val="center" w:pos="7088"/>
        </w:tabs>
        <w:rPr>
          <w:bCs/>
          <w:lang w:val="bs-Latn-BA"/>
        </w:rPr>
      </w:pPr>
      <w:r>
        <w:rPr>
          <w:bCs/>
          <w:lang w:val="bs-Latn-BA"/>
        </w:rPr>
        <w:tab/>
        <w:t>dr Senad Softić</w:t>
      </w:r>
    </w:p>
    <w:p>
      <w:pPr>
        <w:jc w:val="both"/>
        <w:rPr>
          <w:rFonts w:eastAsiaTheme="minorHAnsi"/>
          <w:lang w:val="bs-Latn-BA"/>
        </w:rPr>
      </w:pPr>
    </w:p>
    <w:p>
      <w:pPr>
        <w:jc w:val="both"/>
        <w:rPr>
          <w:rFonts w:eastAsiaTheme="minorHAnsi"/>
          <w:lang w:val="bs-Latn-BA"/>
        </w:rPr>
      </w:pPr>
    </w:p>
    <w:p>
      <w:pPr>
        <w:spacing w:after="160" w:line="259" w:lineRule="auto"/>
        <w:rPr>
          <w:rFonts w:eastAsiaTheme="minorHAnsi"/>
          <w:lang w:val="bs-Latn-BA"/>
        </w:rPr>
        <w:sectPr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34"/>
        <w:gridCol w:w="1134"/>
        <w:gridCol w:w="1559"/>
        <w:gridCol w:w="1276"/>
        <w:gridCol w:w="1129"/>
      </w:tblGrid>
      <w:tr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bookmarkStart w:id="1" w:name="RANGE!A1:E70"/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lastRenderedPageBreak/>
              <w:t>NAZIV BANKE</w:t>
            </w:r>
            <w:bookmarkEnd w:id="1"/>
          </w:p>
        </w:tc>
      </w:tr>
      <w:tr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IZVJEŠTAJ ZA OBRAČUN OBAVEZNE REZERVE</w:t>
            </w:r>
          </w:p>
        </w:tc>
      </w:tr>
      <w:tr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za period od ................. do .................</w:t>
            </w:r>
          </w:p>
        </w:tc>
      </w:tr>
      <w:tr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Broj radnih dana u periodu .................</w:t>
            </w:r>
          </w:p>
        </w:tc>
      </w:tr>
      <w:tr>
        <w:trPr>
          <w:trHeight w:val="20"/>
        </w:trPr>
        <w:tc>
          <w:tcPr>
            <w:tcW w:w="5534" w:type="dxa"/>
            <w:tcBorders>
              <w:top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OPIS POZICIJA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Prosječno stanje sredstava za period održavanja rezerve</w:t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(izraženo u KM)</w:t>
            </w:r>
          </w:p>
        </w:tc>
      </w:tr>
      <w:tr>
        <w:trPr>
          <w:trHeight w:val="20"/>
        </w:trPr>
        <w:tc>
          <w:tcPr>
            <w:tcW w:w="5534" w:type="dxa"/>
            <w:vMerge w:val="restart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OSNOVICA ZA OBRAČUN OBAVEZNE REZERVE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KM</w:t>
            </w:r>
          </w:p>
        </w:tc>
        <w:tc>
          <w:tcPr>
            <w:tcW w:w="2835" w:type="dxa"/>
            <w:gridSpan w:val="2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Ostale valute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Ukupno</w:t>
            </w:r>
          </w:p>
        </w:tc>
      </w:tr>
      <w:tr>
        <w:trPr>
          <w:trHeight w:val="20"/>
        </w:trPr>
        <w:tc>
          <w:tcPr>
            <w:tcW w:w="5534" w:type="dxa"/>
            <w:vMerge/>
            <w:vAlign w:val="center"/>
            <w:hideMark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1559" w:type="dxa"/>
            <w:vAlign w:val="center"/>
            <w:hideMark/>
          </w:tcPr>
          <w:p>
            <w:pPr>
              <w:jc w:val="center"/>
              <w:rPr>
                <w:rFonts w:eastAsiaTheme="minorHAnsi"/>
                <w:sz w:val="19"/>
                <w:szCs w:val="19"/>
                <w:lang w:val="bs-Latn-BA"/>
              </w:rPr>
            </w:pPr>
            <w:r>
              <w:rPr>
                <w:rFonts w:eastAsiaTheme="minorHAnsi"/>
                <w:sz w:val="19"/>
                <w:szCs w:val="19"/>
                <w:lang w:val="bs-Latn-BA"/>
              </w:rPr>
              <w:t>KM s valutnom klauzulom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Strane valute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center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1 - Depoziti i pozajmljena sredstva od nerezidenata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Korespondentski računi nerezidentnih banaka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Kratkoročni depoziti nerezidenata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Kratkoročni krediti od nerezidenata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Dugoročni depoziti nerezidenata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Dugoročni krediti od nerezidenata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1 - IZNOS UKUPNO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2 - Depoziti po viđenju rezidenata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općinskih vlada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2 - IZNOS UKUPNO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 xml:space="preserve">3 - Oročeni i štedni depoziti rezidenata 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 xml:space="preserve">Depoziti općinskih vlada 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 xml:space="preserve">Depoziti općinskih vlada 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3 - IZNOS UKUPNO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4 - Ograničeni depoziti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4 - IZNOS UKUPNO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 xml:space="preserve">5 - Vladini fondovi za pozajmljivanje 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5 - IZNOS UKUPNO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6 - Ostala pasiva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18"/>
                <w:szCs w:val="20"/>
                <w:lang w:val="bs-Latn-BA"/>
              </w:rPr>
              <w:t>Drugo - dio koji se odnosi na pozajmice od nebankarskih domaćih sektora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vAlign w:val="center"/>
            <w:hideMark/>
          </w:tcPr>
          <w:p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bs-Latn-BA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6 - IZNOS UKUPNO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eastAsiaTheme="minorHAnsi"/>
                <w:b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UKUPNO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bs-Latn-BA"/>
              </w:rPr>
              <w:t> </w:t>
            </w:r>
          </w:p>
        </w:tc>
      </w:tr>
      <w:tr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Odgovorno lice:</w:t>
            </w:r>
          </w:p>
        </w:tc>
      </w:tr>
      <w:tr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Mjesto, datum: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Ime i prezime:</w:t>
            </w:r>
          </w:p>
        </w:tc>
      </w:tr>
      <w:tr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Kontakt telefon:</w:t>
            </w:r>
          </w:p>
        </w:tc>
      </w:tr>
      <w:tr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Iz osnovice za obračun obavezne rezerve isključuju se: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Dugoročni krediti od nerezidenata do 1992. godine i obaveze po osnovu stare devizne štednje građana;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eastAsiaTheme="minorHAnsi"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sz w:val="20"/>
                <w:szCs w:val="20"/>
                <w:lang w:val="bs-Latn-BA"/>
              </w:rPr>
              <w:t>Krediti inobanaka koji su dobijeni preko ministarstava finansija vlada entiteta – banka je samo posrednik, dok je vlada entiteta garant i dužnik.</w:t>
            </w:r>
          </w:p>
        </w:tc>
      </w:tr>
    </w:tbl>
    <w:p>
      <w:pPr>
        <w:jc w:val="both"/>
        <w:rPr>
          <w:rFonts w:eastAsiaTheme="minorHAnsi"/>
          <w:sz w:val="20"/>
          <w:lang w:val="bs-Latn-BA"/>
        </w:rPr>
        <w:sectPr>
          <w:pgSz w:w="11906" w:h="16838" w:code="9"/>
          <w:pgMar w:top="397" w:right="1440" w:bottom="568" w:left="1440" w:header="708" w:footer="403" w:gutter="0"/>
          <w:cols w:space="708"/>
          <w:docGrid w:linePitch="360"/>
        </w:sectPr>
      </w:pPr>
    </w:p>
    <w:p>
      <w:pPr>
        <w:tabs>
          <w:tab w:val="center" w:pos="7088"/>
        </w:tabs>
        <w:rPr>
          <w:bCs/>
          <w:lang w:val="bs-Latn-BA"/>
        </w:rPr>
      </w:pPr>
    </w:p>
    <w:sectPr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56E"/>
    <w:multiLevelType w:val="hybridMultilevel"/>
    <w:tmpl w:val="0B00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209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9420FE"/>
    <w:multiLevelType w:val="hybridMultilevel"/>
    <w:tmpl w:val="C21C3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4E814-415A-426D-B3AE-79BA18E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8</cp:revision>
  <dcterms:created xsi:type="dcterms:W3CDTF">2021-11-02T12:27:00Z</dcterms:created>
  <dcterms:modified xsi:type="dcterms:W3CDTF">2021-11-05T12:03:00Z</dcterms:modified>
</cp:coreProperties>
</file>