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tabs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eastAsia="bs-Latn-BA"/>
        </w:rPr>
        <w:t>Na temelju članka 7. stavak 1. točke b. i f. i članka 70. Zakona o Centralnoj banci Bosne i Hercegovine („Službeni glasnik BiH“, br. 1/97, 29/02, 8/03, 13/03, 14/03, 9/05, 76/06 i 32/07)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eastAsia="zh-CN"/>
        </w:rPr>
        <w:t xml:space="preserve">, Upravno vijeće Centralne banke Bosne i Hercegovine, na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7. sjednici održanoj 28.07.2023. godine i 8. sjednici održanoj 29.08.2023. godine,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eastAsia="zh-CN"/>
        </w:rPr>
        <w:t xml:space="preserve"> donosi </w:t>
      </w:r>
    </w:p>
    <w:p>
      <w:pPr>
        <w:widowControl w:val="0"/>
        <w:tabs>
          <w:tab w:val="num" w:pos="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Cs/>
          <w:noProof/>
          <w:sz w:val="24"/>
          <w:szCs w:val="24"/>
          <w:lang w:val="bs-Latn-BA" w:eastAsia="zh-CN"/>
        </w:rPr>
      </w:pPr>
    </w:p>
    <w:p>
      <w:pPr>
        <w:widowControl w:val="0"/>
        <w:tabs>
          <w:tab w:val="num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Cs/>
          <w:noProof/>
          <w:sz w:val="24"/>
          <w:szCs w:val="24"/>
          <w:lang w:val="bs-Latn-BA" w:eastAsia="zh-CN"/>
        </w:rPr>
      </w:pPr>
    </w:p>
    <w:p>
      <w:pPr>
        <w:widowControl w:val="0"/>
        <w:tabs>
          <w:tab w:val="num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Cs/>
          <w:noProof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iCs/>
          <w:noProof/>
          <w:sz w:val="24"/>
          <w:szCs w:val="24"/>
          <w:lang w:eastAsia="zh-CN"/>
        </w:rPr>
        <w:t>ODLUKU</w:t>
      </w:r>
    </w:p>
    <w:p>
      <w:pPr>
        <w:widowControl w:val="0"/>
        <w:tabs>
          <w:tab w:val="num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iCs/>
          <w:noProof/>
          <w:sz w:val="24"/>
          <w:szCs w:val="24"/>
          <w:lang w:eastAsia="zh-CN"/>
        </w:rPr>
        <w:t xml:space="preserve">o izmjeni i dopuni Odluke o utvrđivanju tarife naknada za usluge koje vrši </w:t>
      </w:r>
      <w:r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eastAsia="zh-CN"/>
        </w:rPr>
        <w:t>Centralna banka Bosne i Hercegovine</w:t>
      </w:r>
    </w:p>
    <w:p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bs-Latn-BA" w:eastAsia="zh-CN"/>
        </w:rPr>
      </w:pPr>
    </w:p>
    <w:p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bs-Latn-BA" w:eastAsia="zh-CN"/>
        </w:rPr>
      </w:pPr>
    </w:p>
    <w:p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bs-Latn-BA" w:eastAsia="zh-CN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bs-Latn-BA" w:eastAsia="zh-CN"/>
        </w:rPr>
        <w:t>Članak 1.</w:t>
      </w:r>
    </w:p>
    <w:p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bs-Latn-BA" w:eastAsia="zh-CN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bs-Latn-BA" w:eastAsia="zh-CN"/>
        </w:rPr>
        <w:t>(Predmet)</w:t>
      </w:r>
    </w:p>
    <w:p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zh-CN"/>
        </w:rPr>
        <w:t xml:space="preserve">(1) U Odluci o utvrđivanju tarife naknada za usluge koje vrši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eastAsia="zh-CN"/>
        </w:rPr>
        <w:t xml:space="preserve">Centralna banka Bosne i Hercegovine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zh-CN"/>
        </w:rPr>
        <w:t>(„Službeni glasnik BiH“, br. 10/21, 53/22 i 81/22), u Tarifi naknada koja čini sastavni dio Odluke, u Tarifnom broju 2. – Poslovi s bankama, dodaje se tarifni stavak 2.3. i glasi:</w:t>
      </w:r>
    </w:p>
    <w:p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highlight w:val="yellow"/>
          <w:lang w:val="bs-Latn-BA" w:eastAsia="zh-CN"/>
        </w:rPr>
      </w:pPr>
    </w:p>
    <w:tbl>
      <w:tblPr>
        <w:tblW w:w="91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0"/>
        <w:gridCol w:w="3586"/>
        <w:gridCol w:w="2547"/>
        <w:gridCol w:w="2101"/>
        <w:gridCol w:w="13"/>
      </w:tblGrid>
      <w:tr>
        <w:trPr>
          <w:gridAfter w:val="1"/>
          <w:wAfter w:w="13" w:type="dxa"/>
        </w:trPr>
        <w:tc>
          <w:tcPr>
            <w:tcW w:w="950" w:type="dxa"/>
            <w:shd w:val="clear" w:color="auto" w:fill="auto"/>
          </w:tcPr>
          <w:p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bs-Latn-BA" w:eastAsia="zh-CN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bs-Latn-BA" w:eastAsia="zh-CN"/>
              </w:rPr>
              <w:t>Tarifni stavak usluge</w:t>
            </w:r>
          </w:p>
        </w:tc>
        <w:tc>
          <w:tcPr>
            <w:tcW w:w="3586" w:type="dxa"/>
            <w:shd w:val="clear" w:color="auto" w:fill="auto"/>
            <w:vAlign w:val="center"/>
          </w:tcPr>
          <w:p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bs-Latn-BA" w:eastAsia="zh-CN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bs-Latn-BA" w:eastAsia="zh-CN"/>
              </w:rPr>
              <w:t>Vrsta usluge</w:t>
            </w:r>
          </w:p>
        </w:tc>
        <w:tc>
          <w:tcPr>
            <w:tcW w:w="2547" w:type="dxa"/>
            <w:shd w:val="clear" w:color="auto" w:fill="auto"/>
            <w:vAlign w:val="center"/>
          </w:tcPr>
          <w:p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bs-Latn-BA" w:eastAsia="zh-CN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bs-Latn-BA" w:eastAsia="zh-CN"/>
              </w:rPr>
              <w:t>Visina (iznos) naknade</w:t>
            </w:r>
          </w:p>
        </w:tc>
        <w:tc>
          <w:tcPr>
            <w:tcW w:w="2101" w:type="dxa"/>
            <w:shd w:val="clear" w:color="auto" w:fill="auto"/>
          </w:tcPr>
          <w:p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bs-Latn-BA" w:eastAsia="zh-CN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bs-Latn-BA" w:eastAsia="zh-CN"/>
              </w:rPr>
              <w:t>Napomena: način obračuna, osnovica i drugo</w:t>
            </w:r>
          </w:p>
        </w:tc>
      </w:tr>
      <w:tr>
        <w:tc>
          <w:tcPr>
            <w:tcW w:w="950" w:type="dxa"/>
            <w:shd w:val="clear" w:color="auto" w:fill="auto"/>
          </w:tcPr>
          <w:p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bs-Latn-BA" w:eastAsia="zh-CN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bs-Latn-BA" w:eastAsia="zh-CN"/>
              </w:rPr>
              <w:t>2.3.</w:t>
            </w:r>
          </w:p>
        </w:tc>
        <w:tc>
          <w:tcPr>
            <w:tcW w:w="8247" w:type="dxa"/>
            <w:gridSpan w:val="4"/>
            <w:shd w:val="clear" w:color="auto" w:fill="auto"/>
          </w:tcPr>
          <w:p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bs-Latn-BA" w:eastAsia="zh-CN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bs-Latn-BA" w:eastAsia="zh-CN"/>
              </w:rPr>
              <w:t>Transakcije na računu rezervi u EUR</w:t>
            </w:r>
          </w:p>
        </w:tc>
      </w:tr>
      <w:tr>
        <w:trPr>
          <w:gridAfter w:val="1"/>
          <w:wAfter w:w="13" w:type="dxa"/>
        </w:trPr>
        <w:tc>
          <w:tcPr>
            <w:tcW w:w="950" w:type="dxa"/>
            <w:shd w:val="clear" w:color="auto" w:fill="auto"/>
          </w:tcPr>
          <w:p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bs-Latn-BA" w:eastAsia="zh-CN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bs-Latn-BA" w:eastAsia="zh-CN"/>
              </w:rPr>
              <w:t>2.3.1.</w:t>
            </w:r>
          </w:p>
        </w:tc>
        <w:tc>
          <w:tcPr>
            <w:tcW w:w="3586" w:type="dxa"/>
            <w:shd w:val="clear" w:color="auto" w:fill="auto"/>
          </w:tcPr>
          <w:p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bs-Latn-BA" w:eastAsia="zh-CN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bs-Latn-BA" w:eastAsia="zh-CN"/>
              </w:rPr>
              <w:t>Uplata i isplata preko računa u inozemstvu – račun rezervi</w:t>
            </w:r>
            <w:r>
              <w:rPr>
                <w:rFonts w:ascii="Times New Roman" w:eastAsia="Calibri" w:hAnsi="Times New Roman" w:cs="Times New Roman"/>
                <w:noProof/>
                <w:color w:val="FF0000"/>
                <w:sz w:val="24"/>
                <w:szCs w:val="24"/>
                <w:lang w:val="bs-Latn-BA" w:eastAsia="zh-CN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bs-Latn-BA" w:eastAsia="zh-CN"/>
              </w:rPr>
              <w:t>u EUR</w:t>
            </w:r>
          </w:p>
        </w:tc>
        <w:tc>
          <w:tcPr>
            <w:tcW w:w="2547" w:type="dxa"/>
            <w:shd w:val="clear" w:color="auto" w:fill="auto"/>
          </w:tcPr>
          <w:p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bs-Latn-BA" w:eastAsia="zh-CN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bs-Latn-BA" w:eastAsia="zh-CN"/>
              </w:rPr>
              <w:t>100,00 KM za vrijednost transakcije do 1.000.000,00 KM – za svaku transakciju; 1.000,00 KM za vrijednost transakcije preko 1.000.000,00 KM – za svaku transakciju</w:t>
            </w:r>
          </w:p>
        </w:tc>
        <w:tc>
          <w:tcPr>
            <w:tcW w:w="2101" w:type="dxa"/>
            <w:shd w:val="clear" w:color="auto" w:fill="auto"/>
          </w:tcPr>
          <w:p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bs-Latn-BA" w:eastAsia="zh-CN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bs-Latn-BA" w:eastAsia="zh-CN"/>
              </w:rPr>
              <w:t>Naknada za operativni trošak Centralne banke za pruženu uslugu</w:t>
            </w:r>
          </w:p>
        </w:tc>
      </w:tr>
      <w:tr>
        <w:trPr>
          <w:gridAfter w:val="1"/>
          <w:wAfter w:w="13" w:type="dxa"/>
        </w:trPr>
        <w:tc>
          <w:tcPr>
            <w:tcW w:w="950" w:type="dxa"/>
            <w:shd w:val="clear" w:color="auto" w:fill="auto"/>
          </w:tcPr>
          <w:p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bs-Latn-BA" w:eastAsia="zh-CN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bs-Latn-BA" w:eastAsia="zh-CN"/>
              </w:rPr>
              <w:t>2.3.2.</w:t>
            </w:r>
          </w:p>
        </w:tc>
        <w:tc>
          <w:tcPr>
            <w:tcW w:w="3586" w:type="dxa"/>
            <w:shd w:val="clear" w:color="auto" w:fill="auto"/>
          </w:tcPr>
          <w:p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bs-Latn-BA" w:eastAsia="zh-CN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bs-Latn-BA" w:eastAsia="zh-CN"/>
              </w:rPr>
              <w:t>Prijenos sredstava s računa rezervi u KM na račun rezervi u EUR i prijenos sredstava s računa rezervi  u EUR na račun rezervi u KM (Interna kupnja/prodaja KM)</w:t>
            </w:r>
          </w:p>
        </w:tc>
        <w:tc>
          <w:tcPr>
            <w:tcW w:w="2547" w:type="dxa"/>
            <w:shd w:val="clear" w:color="auto" w:fill="auto"/>
          </w:tcPr>
          <w:p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bs-Latn-BA" w:eastAsia="zh-CN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bs-Latn-BA" w:eastAsia="zh-CN"/>
              </w:rPr>
              <w:t>100,00 KM za vrijednost transakcije do 1.000.000,00 KM – za svaku transakciju; 1.000,00 KM za vrijednost transakcije preko 1.000.000,00 KM – za svaku transakciju</w:t>
            </w:r>
          </w:p>
        </w:tc>
        <w:tc>
          <w:tcPr>
            <w:tcW w:w="2101" w:type="dxa"/>
            <w:shd w:val="clear" w:color="auto" w:fill="auto"/>
          </w:tcPr>
          <w:p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bs-Latn-BA" w:eastAsia="zh-CN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bs-Latn-BA" w:eastAsia="zh-CN"/>
              </w:rPr>
              <w:t>Naknada za operativni trošak Centralne banke za pruženu uslugu</w:t>
            </w:r>
          </w:p>
        </w:tc>
      </w:tr>
      <w:tr>
        <w:trPr>
          <w:gridAfter w:val="1"/>
          <w:wAfter w:w="13" w:type="dxa"/>
        </w:trPr>
        <w:tc>
          <w:tcPr>
            <w:tcW w:w="950" w:type="dxa"/>
            <w:shd w:val="clear" w:color="auto" w:fill="auto"/>
          </w:tcPr>
          <w:p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bs-Latn-BA" w:eastAsia="zh-CN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bs-Latn-BA" w:eastAsia="zh-CN"/>
              </w:rPr>
              <w:t>2.3.3.</w:t>
            </w:r>
          </w:p>
        </w:tc>
        <w:tc>
          <w:tcPr>
            <w:tcW w:w="3586" w:type="dxa"/>
            <w:shd w:val="clear" w:color="auto" w:fill="auto"/>
          </w:tcPr>
          <w:p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bs-Latn-BA" w:eastAsia="zh-CN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bs-Latn-BA" w:eastAsia="zh-CN"/>
              </w:rPr>
              <w:t>Isplata preko računa u inozemstvu (T+1) – račun rezervi u EUR</w:t>
            </w:r>
          </w:p>
        </w:tc>
        <w:tc>
          <w:tcPr>
            <w:tcW w:w="2547" w:type="dxa"/>
            <w:shd w:val="clear" w:color="auto" w:fill="auto"/>
          </w:tcPr>
          <w:p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bs-Latn-BA" w:eastAsia="zh-CN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bs-Latn-BA" w:eastAsia="zh-CN"/>
              </w:rPr>
              <w:t>0,01 % od vrijednosti transakcije, minimalno 100,00 KM</w:t>
            </w:r>
          </w:p>
        </w:tc>
        <w:tc>
          <w:tcPr>
            <w:tcW w:w="2101" w:type="dxa"/>
            <w:shd w:val="clear" w:color="auto" w:fill="auto"/>
          </w:tcPr>
          <w:p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bs-Latn-BA" w:eastAsia="zh-CN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bs-Latn-BA" w:eastAsia="zh-CN"/>
              </w:rPr>
              <w:t>Centralna banka u ovisnosti od trenutačne raspoloživosti deviznih rezervi, plana investiranja i ranije preuzetih obveza može odobriti ili odbiti ovaj zahtjev</w:t>
            </w:r>
            <w:r>
              <w:rPr>
                <w:rFonts w:ascii="Times New Roman" w:eastAsia="Calibri" w:hAnsi="Times New Roman" w:cs="Times New Roman"/>
                <w:noProof/>
                <w:color w:val="FF0000"/>
                <w:sz w:val="24"/>
                <w:szCs w:val="24"/>
                <w:lang w:val="bs-Latn-BA" w:eastAsia="zh-CN"/>
              </w:rPr>
              <w:t xml:space="preserve"> </w:t>
            </w:r>
          </w:p>
        </w:tc>
      </w:tr>
      <w:tr>
        <w:trPr>
          <w:gridAfter w:val="1"/>
          <w:wAfter w:w="13" w:type="dxa"/>
        </w:trPr>
        <w:tc>
          <w:tcPr>
            <w:tcW w:w="950" w:type="dxa"/>
            <w:shd w:val="clear" w:color="auto" w:fill="auto"/>
          </w:tcPr>
          <w:p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bs-Latn-BA" w:eastAsia="zh-CN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bs-Latn-BA" w:eastAsia="zh-CN"/>
              </w:rPr>
              <w:t>2.3.4.</w:t>
            </w:r>
          </w:p>
        </w:tc>
        <w:tc>
          <w:tcPr>
            <w:tcW w:w="3586" w:type="dxa"/>
            <w:shd w:val="clear" w:color="auto" w:fill="auto"/>
          </w:tcPr>
          <w:p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bs-Latn-BA" w:eastAsia="zh-CN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bs-Latn-BA" w:eastAsia="zh-CN"/>
              </w:rPr>
              <w:t>Isplata preko računa u inozemstvu (T+0) ‒ račun rezervi u EUR</w:t>
            </w:r>
          </w:p>
        </w:tc>
        <w:tc>
          <w:tcPr>
            <w:tcW w:w="2547" w:type="dxa"/>
            <w:shd w:val="clear" w:color="auto" w:fill="auto"/>
          </w:tcPr>
          <w:p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bs-Latn-BA" w:eastAsia="zh-CN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bs-Latn-BA" w:eastAsia="zh-CN"/>
              </w:rPr>
              <w:t xml:space="preserve">0,2 % od vrijednosti transakcije, minimalno 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bs-Latn-BA" w:eastAsia="zh-CN"/>
              </w:rPr>
              <w:lastRenderedPageBreak/>
              <w:t>100,00 KM</w:t>
            </w:r>
          </w:p>
        </w:tc>
        <w:tc>
          <w:tcPr>
            <w:tcW w:w="2101" w:type="dxa"/>
            <w:shd w:val="clear" w:color="auto" w:fill="auto"/>
          </w:tcPr>
          <w:p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bs-Latn-BA" w:eastAsia="zh-CN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bs-Latn-BA" w:eastAsia="zh-CN"/>
              </w:rPr>
              <w:lastRenderedPageBreak/>
              <w:t xml:space="preserve">Centralna banka u ovisnosti od 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bs-Latn-BA" w:eastAsia="zh-CN"/>
              </w:rPr>
              <w:lastRenderedPageBreak/>
              <w:t>trenutačne raspoloživosti deviznih rezervi, plana investiranja i ranije preuzetih obveza može odobriti ili odbiti ovaj zahtjev</w:t>
            </w:r>
            <w:r>
              <w:rPr>
                <w:rFonts w:ascii="Times New Roman" w:eastAsia="Calibri" w:hAnsi="Times New Roman" w:cs="Times New Roman"/>
                <w:noProof/>
                <w:color w:val="FF0000"/>
                <w:sz w:val="24"/>
                <w:szCs w:val="24"/>
                <w:lang w:val="bs-Latn-BA" w:eastAsia="zh-CN"/>
              </w:rPr>
              <w:t xml:space="preserve"> </w:t>
            </w:r>
          </w:p>
        </w:tc>
      </w:tr>
      <w:tr>
        <w:trPr>
          <w:gridAfter w:val="1"/>
          <w:wAfter w:w="13" w:type="dxa"/>
        </w:trPr>
        <w:tc>
          <w:tcPr>
            <w:tcW w:w="950" w:type="dxa"/>
            <w:shd w:val="clear" w:color="auto" w:fill="auto"/>
          </w:tcPr>
          <w:p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bs-Latn-BA" w:eastAsia="zh-CN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bs-Latn-BA" w:eastAsia="zh-CN"/>
              </w:rPr>
              <w:lastRenderedPageBreak/>
              <w:t>2.3.5.</w:t>
            </w:r>
          </w:p>
        </w:tc>
        <w:tc>
          <w:tcPr>
            <w:tcW w:w="3586" w:type="dxa"/>
            <w:shd w:val="clear" w:color="auto" w:fill="auto"/>
          </w:tcPr>
          <w:p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bs-Latn-BA" w:eastAsia="zh-CN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bs-Latn-BA" w:eastAsia="zh-CN"/>
              </w:rPr>
              <w:t>Odustajanje od ugovorene transakcije ‒ uplata preko računa u inozemstvu ‒ račun rezervi</w:t>
            </w:r>
            <w:r>
              <w:rPr>
                <w:rFonts w:ascii="Times New Roman" w:eastAsia="Calibri" w:hAnsi="Times New Roman" w:cs="Times New Roman"/>
                <w:noProof/>
                <w:color w:val="FF0000"/>
                <w:sz w:val="24"/>
                <w:szCs w:val="24"/>
                <w:lang w:val="bs-Latn-BA" w:eastAsia="zh-CN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bs-Latn-BA" w:eastAsia="zh-CN"/>
              </w:rPr>
              <w:t>u EUR</w:t>
            </w:r>
          </w:p>
        </w:tc>
        <w:tc>
          <w:tcPr>
            <w:tcW w:w="2547" w:type="dxa"/>
            <w:shd w:val="clear" w:color="auto" w:fill="auto"/>
          </w:tcPr>
          <w:p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bs-Latn-BA" w:eastAsia="zh-CN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bs-Latn-BA" w:eastAsia="zh-CN"/>
              </w:rPr>
              <w:t>0,1 % od vrijednosti ugovorene transakcije</w:t>
            </w:r>
          </w:p>
        </w:tc>
        <w:tc>
          <w:tcPr>
            <w:tcW w:w="2101" w:type="dxa"/>
            <w:shd w:val="clear" w:color="auto" w:fill="auto"/>
          </w:tcPr>
          <w:p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bs-Latn-BA" w:eastAsia="zh-CN"/>
              </w:rPr>
            </w:pPr>
          </w:p>
        </w:tc>
      </w:tr>
    </w:tbl>
    <w:p>
      <w:pPr>
        <w:suppressAutoHyphens/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bs-Latn-BA" w:eastAsia="zh-CN"/>
        </w:rPr>
      </w:pPr>
    </w:p>
    <w:p>
      <w:pPr>
        <w:suppressAutoHyphens/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zh-CN"/>
        </w:rPr>
        <w:t>(2) Tekstualni dio, ispod tabele, pod nazivom „Naplata naknade za Tarifni broj 2.“ mijenja se i glasi:</w:t>
      </w:r>
    </w:p>
    <w:p>
      <w:pPr>
        <w:suppressAutoHyphens/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bs-Latn-BA" w:eastAsia="zh-CN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bs-Latn-BA" w:eastAsia="zh-CN"/>
        </w:rPr>
        <w:t>„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bs-Latn-BA" w:eastAsia="zh-CN"/>
        </w:rPr>
        <w:t>Naplata naknade za Tarifni broj 2.</w:t>
      </w:r>
    </w:p>
    <w:p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zh-CN"/>
        </w:rPr>
        <w:t xml:space="preserve">(1) Naplata naknade iz tarifnih stavaka 2.1., 2.2.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bs-Latn-BA" w:eastAsia="zh-CN"/>
        </w:rPr>
        <w:t>i 2.3.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zh-CN"/>
        </w:rPr>
        <w:t xml:space="preserve"> vrši se na sljedeći način:</w:t>
      </w:r>
    </w:p>
    <w:p>
      <w:pPr>
        <w:widowControl w:val="0"/>
        <w:numPr>
          <w:ilvl w:val="0"/>
          <w:numId w:val="1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>Naplata naknade vrši se na mjesečnoj razini, s datumom valute desetog radnog dana tekućeg mjeseca ili prvog narednog radnog dana, ukoliko je deseti dan u mjesecu neradni dan. Naknada se naplaćuje u KM.</w:t>
      </w:r>
    </w:p>
    <w:p>
      <w:pPr>
        <w:widowControl w:val="0"/>
        <w:numPr>
          <w:ilvl w:val="0"/>
          <w:numId w:val="1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>Centralna banka naknadu naplaćuje zaduženjem računa rezervi u KM banke u korist računa Centralnog ureda Centralne banke.</w:t>
      </w:r>
    </w:p>
    <w:p>
      <w:pPr>
        <w:widowControl w:val="0"/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zh-CN"/>
        </w:rPr>
        <w:t xml:space="preserve">Naknada iz tarifnog stavka 2.1.1. ne isključuje naknade iz tarifnih stavaka od 2.1.2. do 2.1.8. Za uslugu iz tarifnog stavka 2.1.3. osnovica za obračun naknade iz tarifnog stavka 2.1.1. </w:t>
      </w:r>
      <w:r>
        <w:rPr>
          <w:rFonts w:ascii="Times New Roman" w:eastAsia="Calibri" w:hAnsi="Times New Roman" w:cs="Times New Roman"/>
          <w:bCs/>
          <w:noProof/>
          <w:sz w:val="24"/>
          <w:szCs w:val="24"/>
          <w:lang w:eastAsia="zh-CN"/>
        </w:rPr>
        <w:t>je vrijednost/iznos kupnje i prodaje efektivnog stranog novca izražen u KM.</w:t>
      </w:r>
    </w:p>
    <w:p>
      <w:pPr>
        <w:widowControl w:val="0"/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bs-Latn-BA" w:eastAsia="zh-CN"/>
        </w:rPr>
        <w:t>Naknada iz tarifnog stavka 2.3.1. ne isključuje naknade iz tarifnih stavaka 2.3.3. ‒ 2.3.5.</w:t>
      </w:r>
    </w:p>
    <w:p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bs-Latn-BA" w:eastAsia="zh-CN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bs-Latn-BA" w:eastAsia="zh-CN"/>
        </w:rPr>
        <w:t>(2) Osnovicu za obračun naknada za usluge iz tarifnog stavka 2.3. predstavlja vrijednost/iznos uplate i isplate izražene u KM.“.</w:t>
      </w:r>
    </w:p>
    <w:p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bs-Latn-BA" w:eastAsia="zh-CN"/>
        </w:rPr>
      </w:pPr>
    </w:p>
    <w:p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bs-Latn-BA" w:eastAsia="zh-CN"/>
        </w:rPr>
      </w:pPr>
    </w:p>
    <w:p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bs-Latn-BA" w:eastAsia="zh-CN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bs-Latn-BA" w:eastAsia="zh-CN"/>
        </w:rPr>
        <w:t>Članak 2.</w:t>
      </w:r>
    </w:p>
    <w:p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bs-Latn-BA" w:eastAsia="zh-CN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bs-Latn-BA" w:eastAsia="zh-CN"/>
        </w:rPr>
        <w:t>(Stupanje na snagu i početak primjene)</w:t>
      </w:r>
    </w:p>
    <w:p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bs-Latn-BA" w:eastAsia="zh-CN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bs-Latn-BA" w:eastAsia="zh-CN"/>
        </w:rPr>
        <w:t>(1) Ova odluka stupa na snagu osmog dana od dana objavljivanja u „Službenom glasniku BiH“, a primjenjivat će se od 01.01.2024. godine.</w:t>
      </w:r>
    </w:p>
    <w:p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bs-Latn-BA" w:eastAsia="zh-CN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bs-Latn-BA" w:eastAsia="zh-CN"/>
        </w:rPr>
        <w:t>(2) Ova odluka će se objaviti i u „Službenim novinama Federacije BiH“, „Službenom glasniku Republike Srpske“ i „Službenom glasniku Brčko distrikta BiH“.</w:t>
      </w:r>
    </w:p>
    <w:p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bs-Latn-BA" w:eastAsia="zh-CN"/>
        </w:rPr>
      </w:pPr>
    </w:p>
    <w:p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bs-Latn-BA" w:eastAsia="zh-CN"/>
        </w:rPr>
      </w:pPr>
    </w:p>
    <w:p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bs-Latn-BA" w:eastAsia="zh-CN"/>
        </w:rPr>
      </w:pPr>
    </w:p>
    <w:p>
      <w:pPr>
        <w:widowControl w:val="0"/>
        <w:tabs>
          <w:tab w:val="center" w:pos="680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val="bs-Latn-BA" w:eastAsia="zh-CN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bs-Latn-BA" w:eastAsia="zh-CN"/>
        </w:rPr>
        <w:tab/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bs-Latn-BA" w:eastAsia="zh-CN"/>
        </w:rPr>
        <w:t>Predsjedatelj</w:t>
      </w:r>
    </w:p>
    <w:p>
      <w:pPr>
        <w:widowControl w:val="0"/>
        <w:tabs>
          <w:tab w:val="center" w:pos="680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val="bs-Latn-BA" w:eastAsia="zh-CN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bs-Latn-BA" w:eastAsia="zh-CN"/>
        </w:rPr>
        <w:tab/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bs-Latn-BA" w:eastAsia="zh-CN"/>
        </w:rPr>
        <w:t>Upravnog vijeća Centralne banke</w:t>
      </w:r>
    </w:p>
    <w:p>
      <w:pPr>
        <w:widowControl w:val="0"/>
        <w:tabs>
          <w:tab w:val="center" w:pos="680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bs-Latn-BA" w:eastAsia="zh-CN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bs-Latn-BA" w:eastAsia="zh-CN"/>
        </w:rPr>
        <w:t>Broj: UV-122-02-1-1499-6</w:t>
      </w: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4"/>
          <w:szCs w:val="24"/>
          <w:lang w:val="bs-Latn-BA" w:eastAsia="zh-CN"/>
        </w:rPr>
        <w:t>/23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bs-Latn-BA" w:eastAsia="zh-CN"/>
        </w:rPr>
        <w:tab/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bs-Latn-BA" w:eastAsia="zh-CN"/>
        </w:rPr>
        <w:t>Bosne i Hercegovine</w:t>
      </w:r>
    </w:p>
    <w:p>
      <w:pPr>
        <w:widowControl w:val="0"/>
        <w:tabs>
          <w:tab w:val="center" w:pos="680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bs-Latn-BA" w:eastAsia="zh-CN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bs-Latn-BA" w:eastAsia="zh-CN"/>
        </w:rPr>
        <w:t>Sarajevo, 29.08.2023.. godine</w:t>
      </w:r>
    </w:p>
    <w:p>
      <w:pPr>
        <w:widowControl w:val="0"/>
        <w:tabs>
          <w:tab w:val="center" w:pos="680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val="bs-Latn-BA" w:eastAsia="zh-CN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bs-Latn-BA" w:eastAsia="zh-CN"/>
        </w:rPr>
        <w:tab/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bs-Latn-BA" w:eastAsia="zh-CN"/>
        </w:rPr>
        <w:t>GUVERNER</w:t>
      </w:r>
    </w:p>
    <w:p>
      <w:pPr>
        <w:widowControl w:val="0"/>
        <w:tabs>
          <w:tab w:val="center" w:pos="680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val="bs-Latn-BA" w:eastAsia="zh-CN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bs-Latn-BA" w:eastAsia="zh-CN"/>
        </w:rPr>
        <w:tab/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bs-Latn-BA" w:eastAsia="zh-CN"/>
        </w:rPr>
        <w:t>dr. Senad Softić</w:t>
      </w:r>
    </w:p>
    <w:p>
      <w:pPr>
        <w:pStyle w:val="NoSpacing"/>
        <w:jc w:val="both"/>
        <w:rPr>
          <w:rFonts w:ascii="Times New Roman" w:hAnsi="Times New Roman"/>
          <w:sz w:val="24"/>
          <w:szCs w:val="24"/>
          <w:lang w:val="bs-Latn-BA"/>
        </w:rPr>
      </w:pPr>
    </w:p>
    <w:sectPr>
      <w:footerReference w:type="default" r:id="rId7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55973085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>
            <w:pPr>
              <w:pStyle w:val="Footer"/>
              <w:jc w:val="center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7012F3"/>
    <w:multiLevelType w:val="hybridMultilevel"/>
    <w:tmpl w:val="D8D04C54"/>
    <w:lvl w:ilvl="0" w:tplc="0409000F">
      <w:start w:val="1"/>
      <w:numFmt w:val="decimal"/>
      <w:lvlText w:val="%1."/>
      <w:lvlJc w:val="left"/>
      <w:pPr>
        <w:ind w:left="643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EC1A43"/>
    <w:multiLevelType w:val="hybridMultilevel"/>
    <w:tmpl w:val="5936FD74"/>
    <w:lvl w:ilvl="0" w:tplc="E19800B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8320D8"/>
    <w:multiLevelType w:val="hybridMultilevel"/>
    <w:tmpl w:val="46CEA92A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AD3961"/>
    <w:multiLevelType w:val="hybridMultilevel"/>
    <w:tmpl w:val="65502F96"/>
    <w:lvl w:ilvl="0" w:tplc="6052B80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F925A5"/>
    <w:multiLevelType w:val="hybridMultilevel"/>
    <w:tmpl w:val="C92661B6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443283"/>
    <w:multiLevelType w:val="hybridMultilevel"/>
    <w:tmpl w:val="2E7E1016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FD36E7"/>
    <w:multiLevelType w:val="hybridMultilevel"/>
    <w:tmpl w:val="91643C10"/>
    <w:lvl w:ilvl="0" w:tplc="8716C95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D87EEC"/>
    <w:multiLevelType w:val="hybridMultilevel"/>
    <w:tmpl w:val="33C68480"/>
    <w:lvl w:ilvl="0" w:tplc="0409000F">
      <w:start w:val="1"/>
      <w:numFmt w:val="decimal"/>
      <w:lvlText w:val="%1."/>
      <w:lvlJc w:val="left"/>
      <w:pPr>
        <w:ind w:left="643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C87372"/>
    <w:multiLevelType w:val="hybridMultilevel"/>
    <w:tmpl w:val="3D74119A"/>
    <w:lvl w:ilvl="0" w:tplc="691A79C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1C6639"/>
    <w:multiLevelType w:val="hybridMultilevel"/>
    <w:tmpl w:val="B6A2F110"/>
    <w:lvl w:ilvl="0" w:tplc="E19800B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234F61"/>
    <w:multiLevelType w:val="hybridMultilevel"/>
    <w:tmpl w:val="05A49FC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0"/>
  </w:num>
  <w:num w:numId="4">
    <w:abstractNumId w:val="6"/>
  </w:num>
  <w:num w:numId="5">
    <w:abstractNumId w:val="2"/>
  </w:num>
  <w:num w:numId="6">
    <w:abstractNumId w:val="1"/>
  </w:num>
  <w:num w:numId="7">
    <w:abstractNumId w:val="5"/>
  </w:num>
  <w:num w:numId="8">
    <w:abstractNumId w:val="4"/>
  </w:num>
  <w:num w:numId="9">
    <w:abstractNumId w:val="9"/>
  </w:num>
  <w:num w:numId="10">
    <w:abstractNumId w:val="7"/>
  </w:num>
  <w:num w:numId="11">
    <w:abstractNumId w:val="8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5BD7BB-923C-4E49-B32A-2AD929656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r-Latn-BA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4"/>
      <w:szCs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Pr>
      <w:rFonts w:ascii="Times New Roman" w:eastAsia="Times New Roman" w:hAnsi="Times New Roman" w:cs="Times New Roman"/>
      <w:b/>
      <w:sz w:val="24"/>
      <w:szCs w:val="24"/>
      <w:lang w:val="hr-HR"/>
    </w:rPr>
  </w:style>
  <w:style w:type="paragraph" w:styleId="NoSpacing">
    <w:name w:val="No Spacing"/>
    <w:uiPriority w:val="99"/>
    <w:qFormat/>
    <w:pPr>
      <w:spacing w:after="0" w:line="240" w:lineRule="auto"/>
    </w:pPr>
    <w:rPr>
      <w:rFonts w:ascii="Calibri" w:eastAsia="Calibri" w:hAnsi="Calibri" w:cs="Times New Roman"/>
      <w:lang w:val="sr-Latn-BA"/>
    </w:rPr>
  </w:style>
  <w:style w:type="paragraph" w:styleId="Title">
    <w:name w:val="Title"/>
    <w:basedOn w:val="Normal"/>
    <w:link w:val="TitleChar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en-US"/>
    </w:rPr>
  </w:style>
  <w:style w:type="character" w:customStyle="1" w:styleId="TitleChar">
    <w:name w:val="Title Char"/>
    <w:basedOn w:val="DefaultParagraphFont"/>
    <w:link w:val="Title"/>
    <w:rPr>
      <w:rFonts w:ascii="Times New Roman" w:eastAsia="Times New Roman" w:hAnsi="Times New Roman" w:cs="Times New Roman"/>
      <w:b/>
      <w:sz w:val="28"/>
      <w:szCs w:val="2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  <w:rPr>
      <w:lang w:val="bs-Latn-BA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  <w:lang w:val="sr-Latn-BA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2D2D31"/>
    </w:rPr>
  </w:style>
  <w:style w:type="paragraph" w:styleId="BodyText">
    <w:name w:val="Body Text"/>
    <w:basedOn w:val="Normal"/>
    <w:link w:val="BodyTextChar"/>
    <w:pPr>
      <w:widowControl w:val="0"/>
      <w:spacing w:after="0" w:line="264" w:lineRule="auto"/>
      <w:ind w:firstLine="400"/>
    </w:pPr>
    <w:rPr>
      <w:rFonts w:ascii="Times New Roman" w:eastAsia="Times New Roman" w:hAnsi="Times New Roman" w:cs="Times New Roman"/>
      <w:color w:val="2D2D31"/>
      <w:lang w:val="en-US"/>
    </w:rPr>
  </w:style>
  <w:style w:type="character" w:customStyle="1" w:styleId="BodyTextChar1">
    <w:name w:val="Body Text Char1"/>
    <w:basedOn w:val="DefaultParagraphFont"/>
    <w:uiPriority w:val="99"/>
    <w:semiHidden/>
    <w:rPr>
      <w:lang w:val="sr-Latn-BA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lang w:val="sr-Latn-B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lang w:val="sr-Latn-BA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sr-Latn-BA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pPr>
      <w:spacing w:after="0" w:line="240" w:lineRule="auto"/>
    </w:pPr>
    <w:rPr>
      <w:lang w:val="sr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91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7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7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571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Nedjo Gutalj</dc:creator>
  <cp:lastModifiedBy>Damir Soco</cp:lastModifiedBy>
  <cp:revision>11</cp:revision>
  <cp:lastPrinted>2023-08-29T12:55:00Z</cp:lastPrinted>
  <dcterms:created xsi:type="dcterms:W3CDTF">2023-07-28T03:52:00Z</dcterms:created>
  <dcterms:modified xsi:type="dcterms:W3CDTF">2023-08-31T13:56:00Z</dcterms:modified>
</cp:coreProperties>
</file>