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both"/>
        <w:rPr>
          <w:lang w:val="bs-Latn-BA"/>
        </w:rPr>
      </w:pPr>
      <w:r>
        <w:rPr>
          <w:lang w:val="bs-Latn-BA"/>
        </w:rPr>
        <w:t xml:space="preserve">Na temelju članka 2. stavak (3) točke </w:t>
      </w:r>
      <w:proofErr w:type="spellStart"/>
      <w:r>
        <w:rPr>
          <w:lang w:val="bs-Latn-BA"/>
        </w:rPr>
        <w:t>h.</w:t>
      </w:r>
      <w:proofErr w:type="spellEnd"/>
      <w:r>
        <w:rPr>
          <w:lang w:val="bs-Latn-BA"/>
        </w:rPr>
        <w:t>, članka 7. točke a), članaka 39. i 45. Zakona o Centralnoj banci Bosne i Hercegovine („Službeni glasnik BiH“, br. 1/97, 29/02, 8/09, 13/03, 14/03, 09/05, 76/06 i 32/07), Upravno vijeće Centralne banke Bosne i Hercegovine, na 2. sjednici održanoj dana 28.02.2025. godine, donosi</w:t>
      </w:r>
    </w:p>
    <w:p>
      <w:pPr>
        <w:jc w:val="both"/>
        <w:rPr>
          <w:lang w:val="bs-Latn-BA"/>
        </w:rPr>
      </w:pPr>
    </w:p>
    <w:p>
      <w:pPr>
        <w:jc w:val="both"/>
        <w:rPr>
          <w:lang w:val="bs-Latn-BA"/>
        </w:rPr>
      </w:pPr>
    </w:p>
    <w:p>
      <w:pPr>
        <w:jc w:val="center"/>
        <w:rPr>
          <w:b/>
          <w:lang w:val="bs-Latn-BA"/>
        </w:rPr>
      </w:pPr>
      <w:r>
        <w:rPr>
          <w:b/>
          <w:lang w:val="bs-Latn-BA"/>
        </w:rPr>
        <w:t>ODLUKU</w:t>
      </w:r>
    </w:p>
    <w:p>
      <w:pPr>
        <w:jc w:val="center"/>
        <w:rPr>
          <w:b/>
          <w:lang w:val="bs-Latn-BA"/>
        </w:rPr>
      </w:pPr>
      <w:r>
        <w:rPr>
          <w:b/>
          <w:lang w:val="bs-Latn-BA"/>
        </w:rPr>
        <w:t>o puštanju u opticaj kovanog novca konvertibilne marke</w:t>
      </w:r>
    </w:p>
    <w:p>
      <w:pPr>
        <w:jc w:val="center"/>
        <w:rPr>
          <w:b/>
          <w:lang w:val="bs-Latn-BA"/>
        </w:rPr>
      </w:pPr>
      <w:r>
        <w:rPr>
          <w:b/>
          <w:lang w:val="bs-Latn-BA"/>
        </w:rPr>
        <w:t>apoena 10 i 20 feninga</w:t>
      </w:r>
    </w:p>
    <w:p>
      <w:pPr>
        <w:jc w:val="both"/>
        <w:rPr>
          <w:lang w:val="bs-Latn-BA"/>
        </w:rPr>
      </w:pPr>
    </w:p>
    <w:p>
      <w:pPr>
        <w:jc w:val="both"/>
        <w:rPr>
          <w:lang w:val="bs-Latn-BA"/>
        </w:rPr>
      </w:pPr>
    </w:p>
    <w:p>
      <w:pPr>
        <w:jc w:val="center"/>
        <w:rPr>
          <w:lang w:val="bs-Latn-BA"/>
        </w:rPr>
      </w:pPr>
      <w:r>
        <w:rPr>
          <w:lang w:val="bs-Latn-BA"/>
        </w:rPr>
        <w:t>Članak 1.</w:t>
      </w:r>
    </w:p>
    <w:p>
      <w:pPr>
        <w:jc w:val="center"/>
        <w:rPr>
          <w:lang w:val="bs-Latn-BA"/>
        </w:rPr>
      </w:pPr>
      <w:r>
        <w:rPr>
          <w:lang w:val="bs-Latn-BA"/>
        </w:rPr>
        <w:t>(Uvodne odredbe)</w:t>
      </w:r>
    </w:p>
    <w:p>
      <w:pPr>
        <w:jc w:val="both"/>
        <w:rPr>
          <w:bCs/>
          <w:lang w:val="bs-Latn-BA"/>
        </w:rPr>
      </w:pPr>
      <w:r>
        <w:rPr>
          <w:lang w:val="bs-Latn-BA"/>
        </w:rPr>
        <w:t xml:space="preserve">Centralna banka Bosne i Hercegovine izvršila je kovanje kovanog novca konvertibilne marke (u daljnjem tekstu: kovani novac KM) u apoenima od </w:t>
      </w:r>
      <w:r>
        <w:rPr>
          <w:bCs/>
          <w:lang w:val="bs-Latn-BA"/>
        </w:rPr>
        <w:t>10 i 20 feninga, izdanja 2025. godine</w:t>
      </w:r>
      <w:r>
        <w:rPr>
          <w:lang w:val="bs-Latn-BA"/>
        </w:rPr>
        <w:t>.</w:t>
      </w:r>
    </w:p>
    <w:p>
      <w:pPr>
        <w:jc w:val="both"/>
        <w:rPr>
          <w:lang w:val="bs-Latn-BA"/>
        </w:rPr>
      </w:pPr>
    </w:p>
    <w:p>
      <w:pPr>
        <w:jc w:val="center"/>
        <w:rPr>
          <w:lang w:val="bs-Latn-BA"/>
        </w:rPr>
      </w:pPr>
      <w:r>
        <w:rPr>
          <w:lang w:val="bs-Latn-BA"/>
        </w:rPr>
        <w:t>Članak 2.</w:t>
      </w:r>
    </w:p>
    <w:p>
      <w:pPr>
        <w:jc w:val="center"/>
        <w:rPr>
          <w:lang w:val="bs-Latn-BA"/>
        </w:rPr>
      </w:pPr>
      <w:r>
        <w:rPr>
          <w:lang w:val="bs-Latn-BA"/>
        </w:rPr>
        <w:t>(Osnovna obilježja i dizajn kovanog novca KM)</w:t>
      </w:r>
    </w:p>
    <w:p>
      <w:pPr>
        <w:jc w:val="both"/>
        <w:rPr>
          <w:lang w:val="bs-Latn-BA"/>
        </w:rPr>
      </w:pPr>
      <w:r>
        <w:rPr>
          <w:lang w:val="bs-Latn-BA"/>
        </w:rPr>
        <w:t>Kovani novac KM iz članka 1. ove odluke ima osnovna obilježja i dizajn utvrđen Odlukom o izdavanju, osnovnim obilježjima i puštanju u opticaj kovanog novca od 10, 20 i 50 feninga, („Službeni glasnik BiH“, br. 24/98 i 25/98), osim što je kovan s godinom izdanja “2025”.</w:t>
      </w:r>
    </w:p>
    <w:p>
      <w:pPr>
        <w:rPr>
          <w:lang w:val="bs-Latn-BA"/>
        </w:rPr>
      </w:pPr>
    </w:p>
    <w:p>
      <w:pPr>
        <w:jc w:val="center"/>
        <w:rPr>
          <w:lang w:val="bs-Latn-BA"/>
        </w:rPr>
      </w:pPr>
      <w:r>
        <w:rPr>
          <w:lang w:val="bs-Latn-BA"/>
        </w:rPr>
        <w:t>Članak 3.</w:t>
      </w:r>
    </w:p>
    <w:p>
      <w:pPr>
        <w:jc w:val="center"/>
        <w:rPr>
          <w:lang w:val="bs-Latn-BA"/>
        </w:rPr>
      </w:pPr>
      <w:r>
        <w:rPr>
          <w:lang w:val="bs-Latn-BA"/>
        </w:rPr>
        <w:t>(Zakonsko sredstvo plaćanja)</w:t>
      </w:r>
    </w:p>
    <w:p>
      <w:pPr>
        <w:jc w:val="both"/>
        <w:rPr>
          <w:lang w:val="bs-Latn-BA"/>
        </w:rPr>
      </w:pPr>
      <w:r>
        <w:rPr>
          <w:lang w:val="bs-Latn-BA"/>
        </w:rPr>
        <w:t xml:space="preserve">Kovani novac KM iz ove odluke, po Zakonu o Centralnoj banci Bosne i Hercegovine, sve javne i privatne institucije i ustanove, pravne i fizičke osobe obavezne su prihvatiti u njihovoj nominalnoj vrijednosti kao zakonsko sredstvo plaćanja, kada im se ponude u gotovinskim transakcijama, odnosno u poravnanju i plaćanju bilo kojih obaveza prema njima, na cijelom teritoriju Bosne i Hercegovine. </w:t>
      </w:r>
    </w:p>
    <w:p>
      <w:pPr>
        <w:jc w:val="both"/>
        <w:rPr>
          <w:lang w:val="bs-Latn-BA"/>
        </w:rPr>
      </w:pPr>
    </w:p>
    <w:p>
      <w:pPr>
        <w:jc w:val="center"/>
        <w:rPr>
          <w:lang w:val="bs-Latn-BA"/>
        </w:rPr>
      </w:pPr>
      <w:r>
        <w:rPr>
          <w:lang w:val="bs-Latn-BA"/>
        </w:rPr>
        <w:t>Članak 4.</w:t>
      </w:r>
    </w:p>
    <w:p>
      <w:pPr>
        <w:jc w:val="center"/>
        <w:rPr>
          <w:lang w:val="bs-Latn-BA"/>
        </w:rPr>
      </w:pPr>
      <w:r>
        <w:rPr>
          <w:lang w:val="bs-Latn-BA"/>
        </w:rPr>
        <w:t>(Puštanje u opticaj kovanog novca KM)</w:t>
      </w:r>
    </w:p>
    <w:p>
      <w:pPr>
        <w:jc w:val="both"/>
        <w:rPr>
          <w:lang w:val="bs-Latn-BA"/>
        </w:rPr>
      </w:pPr>
      <w:r>
        <w:rPr>
          <w:lang w:val="bs-Latn-BA"/>
        </w:rPr>
        <w:t>Stupanjem na snagu ove odluke Centralna banka Bosne i Hercegovine će, preko Središnjeg ureda, glavnih jedinica i filijala, kovani novac KM iz ove odluke puštati u opticaj sukcesivno, sukladno inventuru zaliha kovanog novca KM i planu izdavanja kovanog novca KM u opticaju.</w:t>
      </w:r>
    </w:p>
    <w:p>
      <w:pPr>
        <w:rPr>
          <w:lang w:val="bs-Latn-BA"/>
        </w:rPr>
      </w:pPr>
    </w:p>
    <w:p>
      <w:pPr>
        <w:jc w:val="center"/>
        <w:rPr>
          <w:lang w:val="bs-Latn-BA"/>
        </w:rPr>
      </w:pPr>
      <w:r>
        <w:rPr>
          <w:lang w:val="bs-Latn-BA"/>
        </w:rPr>
        <w:t>Članak 5.</w:t>
      </w:r>
    </w:p>
    <w:p>
      <w:pPr>
        <w:jc w:val="center"/>
        <w:rPr>
          <w:lang w:val="bs-Latn-BA"/>
        </w:rPr>
      </w:pPr>
      <w:r>
        <w:rPr>
          <w:lang w:val="bs-Latn-BA"/>
        </w:rPr>
        <w:t>(Stupanje na snagu)</w:t>
      </w:r>
    </w:p>
    <w:p>
      <w:pPr>
        <w:jc w:val="both"/>
        <w:rPr>
          <w:lang w:val="bs-Latn-BA"/>
        </w:rPr>
      </w:pPr>
      <w:r>
        <w:rPr>
          <w:lang w:val="bs-Latn-BA"/>
        </w:rPr>
        <w:t>Ova odluka stupa na snagu osmog dana od dana objavljivanja u “Službenom glasniku BiH”, a objavit će se i u “Službenim novinama Federacije BiH”, “Službenom glasniku Republike Srpske” i “Službenom glasniku Brčko distrikta BiH”.</w:t>
      </w:r>
    </w:p>
    <w:p>
      <w:pPr>
        <w:jc w:val="both"/>
        <w:rPr>
          <w:lang w:val="bs-Latn-BA"/>
        </w:rPr>
      </w:pPr>
      <w:bookmarkStart w:id="0" w:name="_GoBack"/>
      <w:bookmarkEnd w:id="0"/>
    </w:p>
    <w:p>
      <w:pPr>
        <w:jc w:val="both"/>
        <w:rPr>
          <w:lang w:val="bs-Latn-BA"/>
        </w:rPr>
      </w:pPr>
    </w:p>
    <w:p>
      <w:pPr>
        <w:tabs>
          <w:tab w:val="center" w:pos="6804"/>
        </w:tabs>
        <w:jc w:val="both"/>
        <w:rPr>
          <w:bCs/>
          <w:lang w:val="bs-Latn-BA"/>
        </w:rPr>
      </w:pPr>
      <w:r>
        <w:rPr>
          <w:bCs/>
          <w:lang w:val="bs-Latn-BA"/>
        </w:rPr>
        <w:tab/>
      </w:r>
      <w:proofErr w:type="spellStart"/>
      <w:r>
        <w:rPr>
          <w:bCs/>
          <w:lang w:val="bs-Latn-BA"/>
        </w:rPr>
        <w:t>Predsjedateljica</w:t>
      </w:r>
      <w:proofErr w:type="spellEnd"/>
    </w:p>
    <w:p>
      <w:pPr>
        <w:tabs>
          <w:tab w:val="center" w:pos="6804"/>
        </w:tabs>
        <w:jc w:val="both"/>
        <w:rPr>
          <w:bCs/>
          <w:lang w:val="bs-Latn-BA"/>
        </w:rPr>
      </w:pPr>
      <w:r>
        <w:rPr>
          <w:bCs/>
          <w:lang w:val="bs-Latn-BA"/>
        </w:rPr>
        <w:tab/>
        <w:t>Upravnog vijeća Centralne banke</w:t>
      </w:r>
    </w:p>
    <w:p>
      <w:pPr>
        <w:tabs>
          <w:tab w:val="center" w:pos="6804"/>
        </w:tabs>
        <w:jc w:val="both"/>
        <w:rPr>
          <w:bCs/>
          <w:lang w:val="bs-Latn-BA"/>
        </w:rPr>
      </w:pPr>
      <w:r>
        <w:rPr>
          <w:lang w:val="bs-Latn-BA"/>
        </w:rPr>
        <w:t>Broj: UV-122-02-1-646-8/25</w:t>
      </w:r>
      <w:r>
        <w:rPr>
          <w:lang w:val="bs-Latn-BA"/>
        </w:rPr>
        <w:tab/>
      </w:r>
      <w:r>
        <w:rPr>
          <w:bCs/>
          <w:lang w:val="bs-Latn-BA"/>
        </w:rPr>
        <w:t>Bosne i Hercegovine</w:t>
      </w:r>
    </w:p>
    <w:p>
      <w:pPr>
        <w:tabs>
          <w:tab w:val="center" w:pos="6804"/>
        </w:tabs>
        <w:jc w:val="both"/>
        <w:rPr>
          <w:bCs/>
          <w:lang w:val="bs-Latn-BA"/>
        </w:rPr>
      </w:pPr>
      <w:r>
        <w:rPr>
          <w:lang w:val="bs-Latn-BA"/>
        </w:rPr>
        <w:t>Sarajevo, 28.02.2025. godine</w:t>
      </w:r>
      <w:r>
        <w:rPr>
          <w:bCs/>
          <w:lang w:val="bs-Latn-BA"/>
        </w:rPr>
        <w:tab/>
        <w:t>GUVERNERKA</w:t>
      </w:r>
    </w:p>
    <w:p>
      <w:pPr>
        <w:tabs>
          <w:tab w:val="center" w:pos="6804"/>
        </w:tabs>
        <w:jc w:val="both"/>
        <w:rPr>
          <w:lang w:val="bs-Latn-BA"/>
        </w:rPr>
      </w:pPr>
      <w:r>
        <w:rPr>
          <w:bCs/>
          <w:lang w:val="bs-Latn-BA"/>
        </w:rPr>
        <w:tab/>
        <w:t>dr. Jasmina Selimović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4D Times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30A67"/>
    <w:multiLevelType w:val="hybridMultilevel"/>
    <w:tmpl w:val="A22868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3E7FE-A6F0-4633-8F16-6D1AABC6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4D Times Roman" w:hAnsi="4D Times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4D Times Roman" w:eastAsia="Times New Roman" w:hAnsi="4D Times Roman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Cingic</dc:creator>
  <cp:keywords/>
  <dc:description/>
  <cp:lastModifiedBy>Damir Soco</cp:lastModifiedBy>
  <cp:revision>8</cp:revision>
  <dcterms:created xsi:type="dcterms:W3CDTF">2021-05-14T12:45:00Z</dcterms:created>
  <dcterms:modified xsi:type="dcterms:W3CDTF">2025-03-17T14:00:00Z</dcterms:modified>
</cp:coreProperties>
</file>