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Na temelju članka 7. stavak 1. točka b) i članaka 36. i 70. Zakona o Centralnoj banci Bosne i Hercegovine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(„Službeni glasnik BiH“, br. 1/97, 29/02, 8/03, 13/03, 14/03, 9/05, 76/06 i 32/07),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Upravno vijeće Centralne banke Bosne i Hercegovine, na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7. sjednici održanoj 28.07.2023. godine i 8. sjednici održanoj 29.08.2023. godine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, donosi</w:t>
      </w:r>
    </w:p>
    <w:p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ODLUKU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o načinu obavljanja transakcija povećanja i smanjenja sredstava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na računu rezervi u EUR  </w:t>
      </w:r>
    </w:p>
    <w:p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Članak 1.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(Predmet odluke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)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Ovom odlukom uređuje se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način obavljanja transakcija povećanja i smanjenja </w:t>
      </w:r>
      <w:r>
        <w:rPr>
          <w:rFonts w:ascii="Times New Roman" w:eastAsia="Times New Roman" w:hAnsi="Times New Roman" w:cs="Times New Roman"/>
          <w:bCs/>
          <w:noProof/>
          <w:color w:val="0D0D0D"/>
          <w:sz w:val="24"/>
          <w:szCs w:val="24"/>
        </w:rPr>
        <w:t>sredsta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va na računu rezervi u EUR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koje Centralna banka Bosne i Hercegovine (u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daljnjem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tekstu: Centralna banka) obavlja s bankama u Bosni i Hercegovini (u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daljnjem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tekstu: banka) u skladu s propisom Centralne banke o utvrđivanju i održavanju obveznih rezervi i utvrđivanju naknade na iznos rezervi.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Članak 2.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(Povećanje i smanjenje sredstava na računu rezervi u EUR)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(1) Centralna banka vrši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povećanja i smanjenja sredstva na računu rezervi u EUR na temelju zahtjeva banke i to:</w:t>
      </w:r>
    </w:p>
    <w:p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zahtjeva banke za povećanje/smanjenje računa rezervi u EUR po osnovi uplata/isplata preko računa u inozemstvu (u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daljnjem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tekstu: zahtjev za uplatu/isplatu – račun rezervi u EUR), za iznos uplaćenih/isplaćenih sredstava u EUR valuti,</w:t>
      </w:r>
    </w:p>
    <w:p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zahtjeva banke za povećanje/smanjenje računa rezervi u EUR po osnovi prijenosa sredstava s/na račun rezervi u KM (u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daljnjem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tekstu: zahtjev za internu kupnju/prodaju KM – račun rezervi EUR) za iznos protuvrijednosti sredstva u EUR valuti prenesenih s/na račun rezervi u KM.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(2) Radni dan je svaki radni dan kako je određeno propisom Centralne banke o utvrđivanju i održavanju obveznih rezervi i utvrđivanju naknade na iznos rezervi, osim za izvršavanje transakcija po računu Centralne banke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u inozemstvu i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računu rezervi banke u EUR u pogledu čega se primjenjuju i radni dani Target sustava definirani propisima Eurosustava. 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Članak 3.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(Podnošenje zahtjeva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)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(1) Banka podnosi zahtjev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>iz članka 2. stavak (1) ove odluke,</w:t>
      </w:r>
      <w:r>
        <w:rPr>
          <w:rFonts w:ascii="Times New Roman" w:eastAsia="Times New Roman" w:hAnsi="Times New Roman" w:cs="Times New Roman"/>
          <w:bCs/>
          <w:noProof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organizacijskom obliku nadležnom za poslove bankarstva u glavnoj jedinici ili filijali Centralne banke kod koje se vodi račun </w:t>
      </w: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t xml:space="preserve">rezervi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u EUR te banke (u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daljnjem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tekstu: organizacijski oblik za bankarstvo).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trike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(2) Podnošenje zahtjeva iz članka 2. stavak (1) ove odluke i njegovo potvrđivanje od strane organizacijskog oblika za bankarstvo vrši se putem </w:t>
      </w:r>
      <w:r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t xml:space="preserve">softverske platforme elektroničkog međubankarskog tržišta novca (u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daljnjem </w:t>
      </w:r>
      <w:r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t xml:space="preserve">tekstu: EMTN). 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(3) U slučaju nemogućnosti komunikacije putem EMTN-a (pad sustava EMTN ili u izuzetnim okolnostima uz obrazloženi pisani zahtjev banke kada se ne radi o padu sustava EMTN), s organizacijskim oblikom za bankarstvo, komunikacija se obavlja putem faksa ili e-pošte. U tom slučaju zahtjeve obvezno potpisuju ovlaštene osobe banke.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(4) Centralna banka realizira samo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uredno popunjene i </w:t>
      </w:r>
      <w:r>
        <w:rPr>
          <w:rFonts w:ascii="Times New Roman" w:eastAsia="Calibri" w:hAnsi="Times New Roman" w:cs="Times New Roman"/>
          <w:bCs/>
          <w:noProof/>
          <w:color w:val="0D0D0D"/>
          <w:sz w:val="24"/>
          <w:szCs w:val="24"/>
        </w:rPr>
        <w:t>blagovremeno dostavljene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zahtjeve banaka, podnesene i potvrđene u skladu s ovom odlukom.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Članak 4.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(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Uplata sredstava na račun u inozemstvu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)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(1) Kada se povećanje sredstava na računu rezervi u EUR vrši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uplatom sredstava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na račun Centralne banke u inozemstvu, Centralna banka kreira 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nalog o uplati EUR </w:t>
      </w:r>
      <w:r>
        <w:rPr>
          <w:rFonts w:ascii="Times New Roman" w:eastAsia="Calibri" w:hAnsi="Times New Roman" w:cs="Times New Roman"/>
          <w:bCs/>
          <w:noProof/>
          <w:color w:val="0D0D0D"/>
          <w:sz w:val="24"/>
          <w:szCs w:val="24"/>
        </w:rPr>
        <w:t xml:space="preserve">s datumom valute 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do dva radna dana od datuma prijema zahtjeva banke iz članka 2. stavak (1) točka a) ove odluke koji je dužna dostaviti organizacijskom obliku za bankarstvo.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trike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(2) Ukoliko se radi o zahtjevu T+0, banka je dužna taj zahtjev dostaviti najkasnije do 14.00 sati, u suprotnom se zahtjev smatra zakašnjelim i odbijenim. 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color w:val="0D0D0D"/>
          <w:sz w:val="24"/>
          <w:szCs w:val="24"/>
        </w:rPr>
        <w:t xml:space="preserve">(3) Centralna banka potvrđuje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uredno popunjen i </w:t>
      </w:r>
      <w:r>
        <w:rPr>
          <w:rFonts w:ascii="Times New Roman" w:eastAsia="Calibri" w:hAnsi="Times New Roman" w:cs="Times New Roman"/>
          <w:bCs/>
          <w:noProof/>
          <w:color w:val="0D0D0D"/>
          <w:sz w:val="24"/>
          <w:szCs w:val="24"/>
        </w:rPr>
        <w:t xml:space="preserve">blagovremeno dostavljen zahtjev banke, a banka najkasnije do 14.30 sati na dan uplate,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a nakon potvrde zahtjeva, </w:t>
      </w:r>
      <w:r>
        <w:rPr>
          <w:rFonts w:ascii="Times New Roman" w:eastAsia="Calibri" w:hAnsi="Times New Roman" w:cs="Times New Roman"/>
          <w:bCs/>
          <w:noProof/>
          <w:color w:val="0D0D0D"/>
          <w:sz w:val="24"/>
          <w:szCs w:val="24"/>
        </w:rPr>
        <w:t xml:space="preserve">organizacijskom obliku za bankarstvo dostavlja SWIFT poruku MT202 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ili pacs. 009</w:t>
      </w:r>
      <w:r>
        <w:rPr>
          <w:rFonts w:ascii="Times New Roman" w:eastAsia="Calibri" w:hAnsi="Times New Roman" w:cs="Times New Roman"/>
          <w:bCs/>
          <w:noProof/>
          <w:color w:val="0D0D0D"/>
          <w:sz w:val="24"/>
          <w:szCs w:val="24"/>
        </w:rPr>
        <w:t xml:space="preserve"> kao dokaz o nalogu/instrukciji za uplatu sredstava 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na račun Centralne banke u inozemstvu.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color w:val="0D0D0D"/>
          <w:sz w:val="24"/>
          <w:szCs w:val="24"/>
        </w:rPr>
        <w:t xml:space="preserve">(4)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Centralna banka realizira nalog o uplati EUR na račun rezervi banke u EUR na datum s kojim je potvrđena uplata banke na račun Centralne banke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u inozemstvu</w:t>
      </w:r>
      <w:r>
        <w:rPr>
          <w:rFonts w:ascii="Times New Roman" w:eastAsia="Calibri" w:hAnsi="Times New Roman" w:cs="Times New Roman"/>
          <w:noProof/>
          <w:sz w:val="24"/>
          <w:szCs w:val="24"/>
        </w:rPr>
        <w:t>. Ukoliko uplata na račun Centralne banke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u inozemstvu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ne bude realizirana do 16:00 sati istog dana, realizacija naloga o uplati EUR na račun rezervi banke u EUR će biti naredni radni dan s ugovorenim datumom valute, ukoliko sredstva budu evidentirana narednog dana na izvodu računa Centralne banke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u inozemstvu</w:t>
      </w:r>
      <w:r>
        <w:rPr>
          <w:rFonts w:ascii="Times New Roman" w:eastAsia="Calibri" w:hAnsi="Times New Roman" w:cs="Times New Roman"/>
          <w:noProof/>
          <w:sz w:val="24"/>
          <w:szCs w:val="24"/>
        </w:rPr>
        <w:t>, o čemu će banka biti blagovremeno obaviještena. Realizacija naloga o uplati s valutom naredni radni dan bit će u slučaju da sredstva budu odobrena na DB-CI (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>Deutsche Bank Cash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>Inquiry</w:t>
      </w:r>
      <w:r>
        <w:rPr>
          <w:rFonts w:ascii="Times New Roman" w:eastAsia="Calibri" w:hAnsi="Times New Roman" w:cs="Times New Roman"/>
          <w:noProof/>
          <w:sz w:val="24"/>
          <w:szCs w:val="24"/>
        </w:rPr>
        <w:t>) ili DB-DI (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>Deutsche Bank Direct Internet</w:t>
      </w:r>
      <w:r>
        <w:rPr>
          <w:rFonts w:ascii="Times New Roman" w:eastAsia="Calibri" w:hAnsi="Times New Roman" w:cs="Times New Roman"/>
          <w:noProof/>
          <w:sz w:val="24"/>
          <w:szCs w:val="24"/>
        </w:rPr>
        <w:t>) ili na računu kod neke druge inobanke kod koje Centralna banka ima otvoren račun najkasnije do 13.00 sati narednog radnog dana, pri čemu se primjenjuje pravilo T+1, a o čemu će banka biti blagovremeno obaviještena pisanim putem.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color w:val="0D0D0D"/>
          <w:sz w:val="24"/>
          <w:szCs w:val="24"/>
        </w:rPr>
        <w:t xml:space="preserve">(5) Ukoliko uplata na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račun Centralne banke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u inozemstvu</w:t>
      </w:r>
      <w:r>
        <w:rPr>
          <w:rFonts w:ascii="Times New Roman" w:eastAsia="Calibri" w:hAnsi="Times New Roman" w:cs="Times New Roman"/>
          <w:bCs/>
          <w:noProof/>
          <w:color w:val="0D0D0D"/>
          <w:sz w:val="24"/>
          <w:szCs w:val="24"/>
        </w:rPr>
        <w:t xml:space="preserve"> ne bude realizirana u skladu sa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stavkom (4) ovog članka smatrat će se da je banka odustala od ugovorene transakcije, o čemu će banka </w:t>
      </w:r>
      <w:r>
        <w:rPr>
          <w:rFonts w:ascii="Times New Roman" w:eastAsia="Calibri" w:hAnsi="Times New Roman" w:cs="Times New Roman"/>
          <w:bCs/>
          <w:noProof/>
          <w:color w:val="0D0D0D"/>
          <w:sz w:val="24"/>
          <w:szCs w:val="24"/>
        </w:rPr>
        <w:t xml:space="preserve">biti obaviještena pisanim putem, te će Centralna banka, u razumnom roku, izvršiti povrat sredstava u skladu s instrukcijom banke. 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color w:val="0D0D0D"/>
          <w:sz w:val="24"/>
          <w:szCs w:val="24"/>
        </w:rPr>
        <w:t xml:space="preserve">(6) 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Realizacijom naloga o uplati odobrava se račun rezervi u EUR. 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Članak 5.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(Isplata sredstva s računa u inozemstvu)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(1) Kada se smanjenje sredstava na računu rezervi u EUR vrši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isplatom u EUR valuti na račun 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banke u inozemstvu, Centralna banka kreira nalog o isplati EUR s datumom valute od dva radna dana od datuma podnošenja zahtjeva (T+2), blokira sredstva na računu rezervi banke do momenta realizacije i potvrđuje zahtjev banke iz članka 2. stavak (1) točka a) ove odluke.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(2) Banka je dužna zahtjev iz stavka (1) ovog članka dostaviti organizacijskom obliku za bankarstvo najkasnije do 13.30 sati.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(3) Ukoliko banka zahtjev iz stavka (1) ovog članka dostavi Centralnoj banci poslije 13.30 sati, a najkasnije do 14.30 sati, može odobriti takav zahtjev.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(4) Ukoliko zahtjev iz stavka (1) ovog članka bude dostavljen poslije 13.30 sati, odnosno zahtjev iz stavka (3) ovog članka bude dostavljen poslije 14.30 sati, zahtjev će biti odbijen.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(5) Centralna banka, u izuzetnim slučajevima, na temelju zahtjeva banke može odobriti i izvršiti isplatu u EUR valuti na račun banke u inozemstvu i s datumom valute od jedan radni dan (T+1) ili s datumom valute istog radnog dana (T+0), ako to mogućnosti dozvoljavaju. 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(6) Banka je dužna zahtjev iz stavka (5) ovog članka dostaviti Centralnoj banci najkasnije do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11.00 sati za zahtjev s valutom isti radni dan (T+0), odnosno do 13.00 sati za zahtjev s valutom jedan radni dan (T+1).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(7) Ukoliko zahtjev s valutom (T+0) bude dostavljen poslije 11.00 sati, odnosno zahtjev s valutom (T+1) poslije 13.00 sati, bit će odbijen.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lastRenderedPageBreak/>
        <w:t xml:space="preserve">(8)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Realizacijom naloga o isplati EUR zadužuje se račun rezervi u EUR.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Članak 6.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(Prijenos sredstava s računa rezervi u KM na račun rezervi u EUR)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(1) </w:t>
      </w:r>
      <w:r>
        <w:rPr>
          <w:rFonts w:ascii="Times New Roman" w:eastAsia="Calibri" w:hAnsi="Times New Roman" w:cs="Times New Roman"/>
          <w:bCs/>
          <w:noProof/>
          <w:color w:val="0D0D0D"/>
          <w:sz w:val="24"/>
          <w:szCs w:val="24"/>
        </w:rPr>
        <w:t xml:space="preserve">Kada se povećanje sredstava na računu rezervi u EUR 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vrši prijenosom sredstava s računa rezervi u KM po zahtjevu banke iz članka 2. stavak (1) točka b) ove odluke, organizacijski oblik za bankarstvo kojem je podnesen zahtjev banke, kreira internu zaključnicu o kupnji KM ‒ račun rezervi u EUR (u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daljnjem 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tekstu: interna zaključnica o kupnji KM</w:t>
      </w:r>
      <w:r>
        <w:rPr>
          <w:rFonts w:ascii="Times New Roman" w:eastAsia="Calibri" w:hAnsi="Times New Roman" w:cs="Times New Roman"/>
          <w:b/>
          <w:bCs/>
          <w:noProof/>
          <w:color w:val="0D0D0D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i potvrđuje zahtjev.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D0D0D"/>
          <w:sz w:val="24"/>
          <w:szCs w:val="24"/>
        </w:rPr>
        <w:t>(2) Interna zaljučnica o kupnji KM kreira se s datumom valute istog dana kada je i podnesen zahtjev, u slučaju da banka podnosi zahtjev do 14:00 sati. Ukoliko zahtjev bude dostavljen poslije 14:00 sati, on će biti odbijen.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(3) Kada banka podnosi zahtjev iz stavka (1) ovog članka s datumom valute od jedan radni dan od datuma podnošenja zahtjeva, organizacijski oblik za bankarstvo kreira internu zaključnicu o kupnji KM s datumom naznačenim u zahtjevu banke. U ovom slučaju banka podnosi zahtjev do 15:00 sati. Ukoliko zahtjev bude dostavljen poslije 15:00 sati, on će biti odbijen.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(4) </w:t>
      </w:r>
      <w:bookmarkStart w:id="0" w:name="_Hlk117004475"/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Kreiranjem interne zaključnice o kupnji KM iz stavaka (2) i (3) ovog članka, blokiraju se sredstva na računu rezervi u KM do trenutka realizacije.</w:t>
      </w:r>
    </w:p>
    <w:bookmarkEnd w:id="0"/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(5) Realizacijom interne zaključnice o kupnji KM, u svrhu prijenosa sredstava s računa rezervi u KM na račun rezervi u EUR, s istim datumom valute zadužuje se račun rezervi u KM i istovremeno odobrava račun rezervi u EUR.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(6) S obzirom na to da interna zaključnica o kupnji KM realizirana u svrhu povećanja sredstva na računu rezervi u EUR nema za posljedice promjenu stanja na računu Centralne banke u inozemstvu, nije potrebno kreirati platne naloge, odnosno SWIFT poruke MT 202. 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Članak 7.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(Prijenos sredstava s računa rezervi u EUR na račun rezervi u KM)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(1) </w:t>
      </w:r>
      <w:r>
        <w:rPr>
          <w:rFonts w:ascii="Times New Roman" w:eastAsia="Calibri" w:hAnsi="Times New Roman" w:cs="Times New Roman"/>
          <w:bCs/>
          <w:noProof/>
          <w:color w:val="0D0D0D"/>
          <w:sz w:val="24"/>
          <w:szCs w:val="24"/>
        </w:rPr>
        <w:t>Kada se smanjenje sredstava na računu rezervi u EUR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 vrši prijenosom sredstava na račun rezervi u KM po zahtjevu banke iz članka 2. stavak (1) točka b) ove odluke, organizacijski oblik za bankarstvo kojem je podnesen zahtjev banke, kreira internu zaključnicu o prodaji KM – račun rezervi u EUR (u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daljnjem 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tekstu: interna zaključnica o prodaji KM) i potvrđuje zahtjev.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D0D0D"/>
          <w:sz w:val="24"/>
          <w:szCs w:val="24"/>
        </w:rPr>
        <w:t>(2) Interna zaljučnica o prodaji KM kreira se s datumom valute istog dana kada je i podnesen zahtjev, u slučaju da banka podnosi zahtjev do 14:00 sati. Ukoliko zahtjev bude dostavljen poslije 14:00 sati, on će biti odbijen.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(3) Kada banka podnosi zahtjev iz stavka (1) ovog članka s datumom valute od jedan radni dan od datuma podnošenja zahtjeva, organizacijski oblik za bankarstvo kreira internu zaključnicu o prodaji KM s datumom naznačenim u zahtjevu banke. U ovom slučaju, banka podnosi zahtjev do 15:00 sati. Ukoliko zahtjev bude dostavljen poslije 15:00 sati, on će biti odbijen.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(4) </w:t>
      </w:r>
      <w:bookmarkStart w:id="1" w:name="_Hlk117004608"/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>Kreiranjem interne zaključnice o prodaji KM iz stavaka (2) i (3) ovog članka, blokiraju se sredstva na računu rezervi u EUR do trenutka realizacije.</w:t>
      </w:r>
    </w:p>
    <w:bookmarkEnd w:id="1"/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(5) Realizacijom interne zaključnice o prodaji KM, u svrhu prijenosa sredstva s računa rezervi u EUR na račun rezervi u KM, s istim datumom valute zadužuje se račun rezervi u EUR i istovremeno odobrava račun rezervi u KM. 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(6) S obzirom na to da interna zaključnica o prodaji KM realizirana u svrhu smanjenja sredstva na računu rezervi u EUR nema za posljedice promjenu stanja na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računu Centralne banke u inozemstvu, nije potrebno kreirati platne naloge, odnosno SWIFT poruke MT 202</w:t>
      </w:r>
      <w:r>
        <w:rPr>
          <w:rFonts w:ascii="Times New Roman" w:eastAsia="Calibri" w:hAnsi="Times New Roman" w:cs="Times New Roman"/>
          <w:noProof/>
          <w:color w:val="0D0D0D"/>
          <w:sz w:val="24"/>
          <w:szCs w:val="24"/>
        </w:rPr>
        <w:t xml:space="preserve"> ili pacs. 009.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Članak 8.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(Naknada)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(1) Centralna banka vrši obračun naknade, u skladu s propisom o tarifi naknada Centralne banke, koji automatski putem EMTN-a (potvrdom zahtjeva) dostavlja banci.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(2) Naplata naknade iz stavka (1) ovog članka vrši se na mjesečnoj razini zaduživanjem računa rezervi banke u KM u korist računa Centralnog ureda Centralne banke.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Članak 9.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(Račun Centralne banke u inozemstvu)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U slučaju nedostupnosti ili nemogućnosti obavljanja transakcija putem računa Centralne banke iz članka 4. ove odluke otvorenog kod 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>Deutsche Bank</w:t>
      </w:r>
      <w:r>
        <w:rPr>
          <w:rFonts w:ascii="Times New Roman" w:eastAsia="Calibri" w:hAnsi="Times New Roman" w:cs="Times New Roman"/>
          <w:noProof/>
          <w:sz w:val="24"/>
          <w:szCs w:val="24"/>
        </w:rPr>
        <w:t>, Centralna banka će bankama pisanim putem dostaviti obavijest o drugom računu Centralne banke sa svim potrebnim instrukcijama za plaćanje, te će pratiti i provjeravati status transakcije drugim kanalom komunikacije.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Članak 10.</w:t>
      </w:r>
    </w:p>
    <w:p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(Stupanje na snagu i objavljivanje)</w:t>
      </w:r>
    </w:p>
    <w:p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(1) Ova odluka stupa na snagu osmog dana od dana objavljivanja u „Službenom glasniku BiH“, a primjenjuje se </w:t>
      </w:r>
      <w:r>
        <w:rPr>
          <w:rFonts w:ascii="Times New Roman" w:eastAsia="Times New Roman" w:hAnsi="Times New Roman" w:cs="Times New Roman"/>
          <w:noProof/>
          <w:color w:val="0D0D0D"/>
          <w:sz w:val="24"/>
          <w:szCs w:val="24"/>
        </w:rPr>
        <w:t>od 01.01.2024. godine.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(2) Ova odluka </w:t>
      </w:r>
      <w:r>
        <w:rPr>
          <w:rFonts w:ascii="Times New Roman" w:hAnsi="Times New Roman" w:cs="Times New Roman"/>
          <w:sz w:val="24"/>
          <w:szCs w:val="24"/>
          <w:lang w:val="bs-Latn-BA"/>
        </w:rPr>
        <w:t>objavit će se i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u „Službenim novinama Federacije BiH“, „Službenom glasniku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Republike Srpske“ i „Službenom glasniku Brčko distrikta BiH“.</w:t>
      </w: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>
      <w:pPr>
        <w:tabs>
          <w:tab w:val="center" w:pos="7088"/>
        </w:tabs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Predsjedatelj</w:t>
      </w:r>
    </w:p>
    <w:p>
      <w:pPr>
        <w:tabs>
          <w:tab w:val="center" w:pos="7088"/>
        </w:tabs>
        <w:spacing w:after="0" w:line="240" w:lineRule="auto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ab/>
        <w:t>Upravnog vijeća Centralne banke</w:t>
      </w:r>
    </w:p>
    <w:p>
      <w:pPr>
        <w:tabs>
          <w:tab w:val="center" w:pos="7088"/>
        </w:tabs>
        <w:spacing w:after="0" w:line="240" w:lineRule="auto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Broj:</w:t>
      </w:r>
      <w:bookmarkStart w:id="2" w:name="_GoBack"/>
      <w:bookmarkEnd w:id="2"/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UV-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122-02-1-1499-5</w:t>
      </w:r>
      <w:r>
        <w:rPr>
          <w:rFonts w:ascii="Times New Roman" w:eastAsia="Calibri" w:hAnsi="Times New Roman" w:cs="Times New Roman"/>
          <w:noProof/>
          <w:sz w:val="24"/>
          <w:szCs w:val="24"/>
        </w:rPr>
        <w:t>/23</w:t>
      </w:r>
      <w:r>
        <w:rPr>
          <w:rFonts w:ascii="Times New Roman" w:eastAsia="Calibri" w:hAnsi="Times New Roman" w:cs="Times New Roman"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Bosne i Hercegovine</w:t>
      </w:r>
    </w:p>
    <w:p>
      <w:pPr>
        <w:tabs>
          <w:tab w:val="center" w:pos="7088"/>
        </w:tabs>
        <w:spacing w:after="0" w:line="240" w:lineRule="auto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Sarajevo, 29.08.2023. godine</w:t>
      </w:r>
    </w:p>
    <w:p>
      <w:pPr>
        <w:tabs>
          <w:tab w:val="center" w:pos="7088"/>
        </w:tabs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GUVERNER</w:t>
      </w:r>
    </w:p>
    <w:p>
      <w:pPr>
        <w:tabs>
          <w:tab w:val="center" w:pos="7088"/>
        </w:tabs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dr. Senad Softić</w:t>
      </w:r>
    </w:p>
    <w:p>
      <w:pPr>
        <w:tabs>
          <w:tab w:val="center" w:pos="7088"/>
        </w:tabs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sectPr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85407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1AE"/>
    <w:multiLevelType w:val="hybridMultilevel"/>
    <w:tmpl w:val="4BD0D0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70CC7"/>
    <w:multiLevelType w:val="hybridMultilevel"/>
    <w:tmpl w:val="C674C48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8E0081"/>
    <w:multiLevelType w:val="hybridMultilevel"/>
    <w:tmpl w:val="F102A242"/>
    <w:lvl w:ilvl="0" w:tplc="58B0C914">
      <w:start w:val="1"/>
      <w:numFmt w:val="lowerLetter"/>
      <w:lvlText w:val="%1)"/>
      <w:lvlJc w:val="left"/>
      <w:pPr>
        <w:ind w:left="719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0B294D57"/>
    <w:multiLevelType w:val="hybridMultilevel"/>
    <w:tmpl w:val="6B6A569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E455E"/>
    <w:multiLevelType w:val="hybridMultilevel"/>
    <w:tmpl w:val="F1F4B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847D5"/>
    <w:multiLevelType w:val="hybridMultilevel"/>
    <w:tmpl w:val="ED08D1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C01B4"/>
    <w:multiLevelType w:val="hybridMultilevel"/>
    <w:tmpl w:val="A56A4F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D65B3"/>
    <w:multiLevelType w:val="hybridMultilevel"/>
    <w:tmpl w:val="A01AAB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46412"/>
    <w:multiLevelType w:val="hybridMultilevel"/>
    <w:tmpl w:val="A53696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B76C2B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B5A93"/>
    <w:multiLevelType w:val="hybridMultilevel"/>
    <w:tmpl w:val="16EA51F8"/>
    <w:lvl w:ilvl="0" w:tplc="7972AC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9E4B81"/>
    <w:multiLevelType w:val="hybridMultilevel"/>
    <w:tmpl w:val="C982F7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64E6C"/>
    <w:multiLevelType w:val="hybridMultilevel"/>
    <w:tmpl w:val="75E655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24817"/>
    <w:multiLevelType w:val="hybridMultilevel"/>
    <w:tmpl w:val="DB445C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10FC7"/>
    <w:multiLevelType w:val="hybridMultilevel"/>
    <w:tmpl w:val="12E438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A06D7"/>
    <w:multiLevelType w:val="hybridMultilevel"/>
    <w:tmpl w:val="4C3868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129C5"/>
    <w:multiLevelType w:val="hybridMultilevel"/>
    <w:tmpl w:val="EB6AED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52A4"/>
    <w:multiLevelType w:val="hybridMultilevel"/>
    <w:tmpl w:val="5E3699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A331A"/>
    <w:multiLevelType w:val="hybridMultilevel"/>
    <w:tmpl w:val="3DFC70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111FAB"/>
    <w:multiLevelType w:val="hybridMultilevel"/>
    <w:tmpl w:val="1D8CE7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012F3"/>
    <w:multiLevelType w:val="hybridMultilevel"/>
    <w:tmpl w:val="8D2A124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66FED"/>
    <w:multiLevelType w:val="hybridMultilevel"/>
    <w:tmpl w:val="805CF16E"/>
    <w:lvl w:ilvl="0" w:tplc="141A0017">
      <w:start w:val="1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305C4"/>
    <w:multiLevelType w:val="hybridMultilevel"/>
    <w:tmpl w:val="D728A7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E777D"/>
    <w:multiLevelType w:val="hybridMultilevel"/>
    <w:tmpl w:val="91A053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26657"/>
    <w:multiLevelType w:val="hybridMultilevel"/>
    <w:tmpl w:val="D4682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76E7C"/>
    <w:multiLevelType w:val="hybridMultilevel"/>
    <w:tmpl w:val="E84A0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D24F12"/>
    <w:multiLevelType w:val="hybridMultilevel"/>
    <w:tmpl w:val="781081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52CC8"/>
    <w:multiLevelType w:val="hybridMultilevel"/>
    <w:tmpl w:val="4AF28F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1C15B2"/>
    <w:multiLevelType w:val="hybridMultilevel"/>
    <w:tmpl w:val="135AC2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A637E0"/>
    <w:multiLevelType w:val="hybridMultilevel"/>
    <w:tmpl w:val="861452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AD3961"/>
    <w:multiLevelType w:val="hybridMultilevel"/>
    <w:tmpl w:val="4920E544"/>
    <w:lvl w:ilvl="0" w:tplc="6052B8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227AF1"/>
    <w:multiLevelType w:val="hybridMultilevel"/>
    <w:tmpl w:val="7578E1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91E99"/>
    <w:multiLevelType w:val="hybridMultilevel"/>
    <w:tmpl w:val="25B4DD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E526F5"/>
    <w:multiLevelType w:val="hybridMultilevel"/>
    <w:tmpl w:val="8DE05CAC"/>
    <w:lvl w:ilvl="0" w:tplc="15023EE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C145E2"/>
    <w:multiLevelType w:val="hybridMultilevel"/>
    <w:tmpl w:val="46E4F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B423F2"/>
    <w:multiLevelType w:val="hybridMultilevel"/>
    <w:tmpl w:val="4642E2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503F4"/>
    <w:multiLevelType w:val="hybridMultilevel"/>
    <w:tmpl w:val="D42C4F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1146B"/>
    <w:multiLevelType w:val="hybridMultilevel"/>
    <w:tmpl w:val="EB3AA09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23DB3"/>
    <w:multiLevelType w:val="hybridMultilevel"/>
    <w:tmpl w:val="73502A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B2E0F"/>
    <w:multiLevelType w:val="hybridMultilevel"/>
    <w:tmpl w:val="407C2E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95418"/>
    <w:multiLevelType w:val="hybridMultilevel"/>
    <w:tmpl w:val="D2C68B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F7BFF"/>
    <w:multiLevelType w:val="hybridMultilevel"/>
    <w:tmpl w:val="633E9A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95F9B"/>
    <w:multiLevelType w:val="hybridMultilevel"/>
    <w:tmpl w:val="3A5C682A"/>
    <w:lvl w:ilvl="0" w:tplc="15023EE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F1E62"/>
    <w:multiLevelType w:val="hybridMultilevel"/>
    <w:tmpl w:val="7FDCC1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17"/>
  </w:num>
  <w:num w:numId="4">
    <w:abstractNumId w:val="5"/>
  </w:num>
  <w:num w:numId="5">
    <w:abstractNumId w:val="39"/>
  </w:num>
  <w:num w:numId="6">
    <w:abstractNumId w:val="38"/>
  </w:num>
  <w:num w:numId="7">
    <w:abstractNumId w:val="2"/>
  </w:num>
  <w:num w:numId="8">
    <w:abstractNumId w:val="34"/>
  </w:num>
  <w:num w:numId="9">
    <w:abstractNumId w:val="35"/>
  </w:num>
  <w:num w:numId="10">
    <w:abstractNumId w:val="30"/>
  </w:num>
  <w:num w:numId="11">
    <w:abstractNumId w:val="8"/>
  </w:num>
  <w:num w:numId="12">
    <w:abstractNumId w:val="42"/>
  </w:num>
  <w:num w:numId="13">
    <w:abstractNumId w:val="27"/>
  </w:num>
  <w:num w:numId="14">
    <w:abstractNumId w:val="12"/>
  </w:num>
  <w:num w:numId="15">
    <w:abstractNumId w:val="24"/>
  </w:num>
  <w:num w:numId="16">
    <w:abstractNumId w:val="26"/>
  </w:num>
  <w:num w:numId="17">
    <w:abstractNumId w:val="0"/>
  </w:num>
  <w:num w:numId="18">
    <w:abstractNumId w:val="16"/>
  </w:num>
  <w:num w:numId="19">
    <w:abstractNumId w:val="22"/>
  </w:num>
  <w:num w:numId="20">
    <w:abstractNumId w:val="25"/>
  </w:num>
  <w:num w:numId="21">
    <w:abstractNumId w:val="15"/>
  </w:num>
  <w:num w:numId="22">
    <w:abstractNumId w:val="21"/>
  </w:num>
  <w:num w:numId="23">
    <w:abstractNumId w:val="11"/>
  </w:num>
  <w:num w:numId="24">
    <w:abstractNumId w:val="7"/>
  </w:num>
  <w:num w:numId="25">
    <w:abstractNumId w:val="20"/>
  </w:num>
  <w:num w:numId="26">
    <w:abstractNumId w:val="33"/>
  </w:num>
  <w:num w:numId="27">
    <w:abstractNumId w:val="13"/>
  </w:num>
  <w:num w:numId="28">
    <w:abstractNumId w:val="37"/>
  </w:num>
  <w:num w:numId="29">
    <w:abstractNumId w:val="28"/>
  </w:num>
  <w:num w:numId="30">
    <w:abstractNumId w:val="6"/>
  </w:num>
  <w:num w:numId="31">
    <w:abstractNumId w:val="3"/>
  </w:num>
  <w:num w:numId="32">
    <w:abstractNumId w:val="1"/>
  </w:num>
  <w:num w:numId="33">
    <w:abstractNumId w:val="10"/>
  </w:num>
  <w:num w:numId="34">
    <w:abstractNumId w:val="40"/>
  </w:num>
  <w:num w:numId="35">
    <w:abstractNumId w:val="4"/>
  </w:num>
  <w:num w:numId="36">
    <w:abstractNumId w:val="18"/>
  </w:num>
  <w:num w:numId="37">
    <w:abstractNumId w:val="23"/>
  </w:num>
  <w:num w:numId="38">
    <w:abstractNumId w:val="36"/>
  </w:num>
  <w:num w:numId="39">
    <w:abstractNumId w:val="41"/>
  </w:num>
  <w:num w:numId="40">
    <w:abstractNumId w:val="32"/>
  </w:num>
  <w:num w:numId="41">
    <w:abstractNumId w:val="31"/>
  </w:num>
  <w:num w:numId="42">
    <w:abstractNumId w:val="14"/>
  </w:num>
  <w:num w:numId="43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EDFB5-205A-484D-9D7B-440DF01F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BA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val="sr-Latn-BA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sr-Latn-B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sr-Latn-B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sr-Latn-BA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rPr>
      <w:vertAlign w:val="superscript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sr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sr-Latn-BA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51256-CEE2-46B6-B422-6693A276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Nedjo Gutalj</dc:creator>
  <cp:lastModifiedBy>Damir Soco</cp:lastModifiedBy>
  <cp:revision>14</cp:revision>
  <cp:lastPrinted>2023-08-29T13:22:00Z</cp:lastPrinted>
  <dcterms:created xsi:type="dcterms:W3CDTF">2023-07-27T17:34:00Z</dcterms:created>
  <dcterms:modified xsi:type="dcterms:W3CDTF">2023-08-31T13:58:00Z</dcterms:modified>
</cp:coreProperties>
</file>