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4C47D178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</w:t>
      </w:r>
      <w:r w:rsidR="009733FB">
        <w:rPr>
          <w:rFonts w:ascii="Times New Roman" w:hAnsi="Times New Roman"/>
          <w:b/>
          <w:sz w:val="24"/>
          <w:lang w:val="hr-HR"/>
        </w:rPr>
        <w:t>ne</w:t>
      </w:r>
      <w:r w:rsidRPr="00DE3654">
        <w:rPr>
          <w:rFonts w:ascii="Times New Roman" w:hAnsi="Times New Roman"/>
          <w:b/>
          <w:sz w:val="24"/>
          <w:lang w:val="hr-HR"/>
        </w:rPr>
        <w:t xml:space="preserve">određeno vrijeme </w:t>
      </w:r>
    </w:p>
    <w:p w14:paraId="506C8A22" w14:textId="77777777" w:rsidR="00805A8C" w:rsidRPr="00DE3654" w:rsidRDefault="00805A8C" w:rsidP="009733FB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7F0C9475" w14:textId="1841F92C" w:rsidR="00C20A4A" w:rsidRPr="00DE3654" w:rsidRDefault="001B2238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1B2238">
        <w:rPr>
          <w:rFonts w:ascii="Times New Roman" w:eastAsia="Times New Roman" w:hAnsi="Times New Roman"/>
          <w:noProof/>
          <w:sz w:val="24"/>
          <w:lang w:val="en-GB"/>
        </w:rPr>
        <w:t>Stručni saradnik za izvještavanje – 1 izvršilac u Službi za plan, analizu i izvještavanje o gotovom novcu Odjeljenja trezora Sektora za monetarne operacije, upravljanje deviznim rezervama i gotovinom Centralnog ureda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oglasu Centralne banke Bosne i Hercegovine objavljenom u dnevnom listu “Oslobođenje” i na web stranici Centralne banke Bosne i Hercegovine dana </w:t>
      </w:r>
      <w:r>
        <w:rPr>
          <w:rFonts w:ascii="Times New Roman" w:hAnsi="Times New Roman"/>
          <w:sz w:val="24"/>
        </w:rPr>
        <w:t>06</w:t>
      </w:r>
      <w:r w:rsidR="00805A8C" w:rsidRPr="00DE365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02</w:t>
      </w:r>
      <w:r w:rsidR="00805A8C" w:rsidRPr="00DE3654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  <w:r w:rsidR="00C20A4A" w:rsidRPr="00DE3654">
        <w:rPr>
          <w:rFonts w:ascii="Times New Roman" w:hAnsi="Times New Roman"/>
          <w:sz w:val="24"/>
        </w:rPr>
        <w:t xml:space="preserve">. godine. </w:t>
      </w:r>
    </w:p>
    <w:p w14:paraId="732C1227" w14:textId="7489E617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1B2238">
        <w:rPr>
          <w:rFonts w:ascii="Times New Roman" w:hAnsi="Times New Roman"/>
          <w:noProof/>
          <w:sz w:val="24"/>
          <w:lang w:val="hr-BA"/>
        </w:rPr>
        <w:t>23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</w:t>
      </w:r>
      <w:r w:rsidR="001B2238">
        <w:rPr>
          <w:rFonts w:ascii="Times New Roman" w:hAnsi="Times New Roman"/>
          <w:noProof/>
          <w:sz w:val="24"/>
          <w:lang w:val="hr-BA"/>
        </w:rPr>
        <w:t>6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 xml:space="preserve">lo je </w:t>
      </w:r>
      <w:r w:rsidR="001B2238">
        <w:rPr>
          <w:rFonts w:ascii="Times New Roman" w:hAnsi="Times New Roman"/>
          <w:noProof/>
          <w:sz w:val="24"/>
          <w:lang w:val="hr-BA"/>
        </w:rPr>
        <w:t>sedamnaest</w:t>
      </w:r>
      <w:r w:rsidR="00B2213C">
        <w:rPr>
          <w:rFonts w:ascii="Times New Roman" w:hAnsi="Times New Roman"/>
          <w:noProof/>
          <w:sz w:val="24"/>
          <w:lang w:val="hr-BA"/>
        </w:rPr>
        <w:t xml:space="preserve"> od </w:t>
      </w:r>
      <w:r w:rsidR="009733FB">
        <w:rPr>
          <w:rFonts w:ascii="Times New Roman" w:hAnsi="Times New Roman"/>
          <w:noProof/>
          <w:sz w:val="24"/>
          <w:lang w:val="hr-BA"/>
        </w:rPr>
        <w:t>dvadeset</w:t>
      </w:r>
      <w:r w:rsidR="004146B5">
        <w:rPr>
          <w:rFonts w:ascii="Times New Roman" w:hAnsi="Times New Roman"/>
          <w:noProof/>
          <w:sz w:val="24"/>
          <w:lang w:val="hr-BA"/>
        </w:rPr>
        <w:t xml:space="preserve"> </w:t>
      </w:r>
      <w:r w:rsidR="001B2238">
        <w:rPr>
          <w:rFonts w:ascii="Times New Roman" w:hAnsi="Times New Roman"/>
          <w:noProof/>
          <w:sz w:val="24"/>
          <w:lang w:val="hr-BA"/>
        </w:rPr>
        <w:t>tri</w:t>
      </w:r>
      <w:r w:rsidR="00B2213C">
        <w:rPr>
          <w:rFonts w:ascii="Times New Roman" w:hAnsi="Times New Roman"/>
          <w:noProof/>
          <w:sz w:val="24"/>
          <w:lang w:val="hr-BA"/>
        </w:rPr>
        <w:t xml:space="preserve"> uredno pozvan</w:t>
      </w:r>
      <w:r w:rsidR="001B2238">
        <w:rPr>
          <w:rFonts w:ascii="Times New Roman" w:hAnsi="Times New Roman"/>
          <w:noProof/>
          <w:sz w:val="24"/>
          <w:lang w:val="hr-BA"/>
        </w:rPr>
        <w:t>a</w:t>
      </w:r>
      <w:r w:rsidR="00B2213C">
        <w:rPr>
          <w:rFonts w:ascii="Times New Roman" w:hAnsi="Times New Roman"/>
          <w:noProof/>
          <w:sz w:val="24"/>
          <w:lang w:val="hr-BA"/>
        </w:rPr>
        <w:t xml:space="preserve">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09B94C65" w14:textId="106929FB" w:rsidR="00C21B74" w:rsidRDefault="00C20A4A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DE3654">
        <w:rPr>
          <w:rFonts w:ascii="Times New Roman" w:hAnsi="Times New Roman"/>
          <w:sz w:val="24"/>
        </w:rPr>
        <w:t xml:space="preserve">Komisija za </w:t>
      </w:r>
      <w:proofErr w:type="spellStart"/>
      <w:r w:rsidRPr="00DE3654">
        <w:rPr>
          <w:rFonts w:ascii="Times New Roman" w:hAnsi="Times New Roman"/>
          <w:sz w:val="24"/>
        </w:rPr>
        <w:t>izbor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kandidata</w:t>
      </w:r>
      <w:proofErr w:type="spellEnd"/>
      <w:r w:rsidRPr="00DE3654">
        <w:rPr>
          <w:rFonts w:ascii="Times New Roman" w:hAnsi="Times New Roman"/>
          <w:sz w:val="24"/>
        </w:rPr>
        <w:t xml:space="preserve"> (u </w:t>
      </w:r>
      <w:proofErr w:type="spellStart"/>
      <w:r w:rsidRPr="00DE3654">
        <w:rPr>
          <w:rFonts w:ascii="Times New Roman" w:hAnsi="Times New Roman"/>
          <w:sz w:val="24"/>
        </w:rPr>
        <w:t>daljem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tekstu</w:t>
      </w:r>
      <w:proofErr w:type="spellEnd"/>
      <w:r w:rsidRPr="00DE3654">
        <w:rPr>
          <w:rFonts w:ascii="Times New Roman" w:hAnsi="Times New Roman"/>
          <w:sz w:val="24"/>
        </w:rPr>
        <w:t xml:space="preserve">: Komisija) je </w:t>
      </w:r>
      <w:proofErr w:type="spellStart"/>
      <w:r w:rsidRPr="00DE3654">
        <w:rPr>
          <w:rFonts w:ascii="Times New Roman" w:hAnsi="Times New Roman"/>
          <w:sz w:val="24"/>
        </w:rPr>
        <w:t>utvrdila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rezultate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testiranja</w:t>
      </w:r>
      <w:proofErr w:type="spellEnd"/>
      <w:r w:rsidRPr="00DE3654">
        <w:rPr>
          <w:rFonts w:ascii="Times New Roman" w:hAnsi="Times New Roman"/>
          <w:sz w:val="24"/>
        </w:rPr>
        <w:t xml:space="preserve">, </w:t>
      </w:r>
      <w:proofErr w:type="spellStart"/>
      <w:r w:rsidRPr="00DE3654">
        <w:rPr>
          <w:rFonts w:ascii="Times New Roman" w:hAnsi="Times New Roman"/>
          <w:sz w:val="24"/>
        </w:rPr>
        <w:t>kako</w:t>
      </w:r>
      <w:proofErr w:type="spellEnd"/>
      <w:r w:rsidRPr="00DE3654">
        <w:rPr>
          <w:rFonts w:ascii="Times New Roman" w:hAnsi="Times New Roman"/>
          <w:sz w:val="24"/>
        </w:rPr>
        <w:t xml:space="preserve"> </w:t>
      </w:r>
      <w:proofErr w:type="spellStart"/>
      <w:r w:rsidRPr="00DE3654">
        <w:rPr>
          <w:rFonts w:ascii="Times New Roman" w:hAnsi="Times New Roman"/>
          <w:sz w:val="24"/>
        </w:rPr>
        <w:t>slijedi</w:t>
      </w:r>
      <w:proofErr w:type="spellEnd"/>
      <w:r w:rsidRPr="00DE3654">
        <w:rPr>
          <w:rFonts w:ascii="Times New Roman" w:hAnsi="Times New Roman"/>
          <w:sz w:val="24"/>
        </w:rPr>
        <w:t xml:space="preserve">: </w:t>
      </w:r>
    </w:p>
    <w:p w14:paraId="2D7C2B05" w14:textId="77777777" w:rsidR="00A93843" w:rsidRPr="00DE3654" w:rsidRDefault="00A93843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830"/>
        <w:gridCol w:w="2005"/>
        <w:gridCol w:w="4678"/>
        <w:gridCol w:w="1559"/>
      </w:tblGrid>
      <w:tr w:rsidR="00953EA4" w:rsidRPr="00DE3654" w14:paraId="6100DDC4" w14:textId="6C6876D7" w:rsidTr="001B2238">
        <w:trPr>
          <w:trHeight w:val="834"/>
        </w:trPr>
        <w:tc>
          <w:tcPr>
            <w:tcW w:w="830" w:type="dxa"/>
            <w:vAlign w:val="center"/>
          </w:tcPr>
          <w:p w14:paraId="192F46AA" w14:textId="77777777" w:rsidR="00953EA4" w:rsidRPr="00DE3654" w:rsidRDefault="00953EA4" w:rsidP="00953EA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005" w:type="dxa"/>
            <w:vAlign w:val="center"/>
          </w:tcPr>
          <w:p w14:paraId="45B6B370" w14:textId="55D12562" w:rsidR="00953EA4" w:rsidRPr="00953EA4" w:rsidRDefault="00953EA4" w:rsidP="00953EA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4678" w:type="dxa"/>
          </w:tcPr>
          <w:p w14:paraId="71D85382" w14:textId="77777777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Test iz opšteg znanja o Centralnoj banci Bosne i Hercegovine, poznavanja poslova oglašenog radnog mjesta i praktičnog rada</w:t>
            </w:r>
          </w:p>
          <w:p w14:paraId="059284E4" w14:textId="1308A5BB" w:rsidR="00953EA4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(max. 70 bodova)</w:t>
            </w:r>
          </w:p>
        </w:tc>
        <w:tc>
          <w:tcPr>
            <w:tcW w:w="1559" w:type="dxa"/>
            <w:vAlign w:val="center"/>
          </w:tcPr>
          <w:p w14:paraId="7EA418DA" w14:textId="27B5AA09" w:rsidR="00953EA4" w:rsidRPr="00DE3654" w:rsidRDefault="00953EA4" w:rsidP="00953EA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Vrijeme intervjua</w:t>
            </w:r>
          </w:p>
        </w:tc>
      </w:tr>
      <w:tr w:rsidR="001B2238" w:rsidRPr="00DE3654" w14:paraId="5D83D9A6" w14:textId="785A620C" w:rsidTr="001B2238">
        <w:trPr>
          <w:trHeight w:val="273"/>
        </w:trPr>
        <w:tc>
          <w:tcPr>
            <w:tcW w:w="830" w:type="dxa"/>
          </w:tcPr>
          <w:p w14:paraId="79489838" w14:textId="74FCA8C3" w:rsidR="001B2238" w:rsidRPr="001B2238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71048B63" w14:textId="53785693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XDNA31102013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664364C" w14:textId="1FFD8238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63D9120A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10:00</w:t>
            </w:r>
          </w:p>
        </w:tc>
      </w:tr>
      <w:tr w:rsidR="001B2238" w:rsidRPr="00DE3654" w14:paraId="4B89BCEA" w14:textId="77777777" w:rsidTr="001B2238">
        <w:trPr>
          <w:trHeight w:val="273"/>
        </w:trPr>
        <w:tc>
          <w:tcPr>
            <w:tcW w:w="830" w:type="dxa"/>
          </w:tcPr>
          <w:p w14:paraId="61422EC1" w14:textId="77777777" w:rsidR="001B2238" w:rsidRPr="001B2238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430895A7" w14:textId="30A28DDE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JUNI2025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B6204F4" w14:textId="58B1F20C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3F3" w14:textId="468700D5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10:15</w:t>
            </w:r>
          </w:p>
        </w:tc>
      </w:tr>
      <w:tr w:rsidR="001B2238" w:rsidRPr="00DE3654" w14:paraId="21F5FD21" w14:textId="77777777" w:rsidTr="001B2238">
        <w:trPr>
          <w:trHeight w:val="273"/>
        </w:trPr>
        <w:tc>
          <w:tcPr>
            <w:tcW w:w="830" w:type="dxa"/>
          </w:tcPr>
          <w:p w14:paraId="1D7958DD" w14:textId="77777777" w:rsidR="001B2238" w:rsidRPr="001B2238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5352CCFB" w14:textId="35B842FC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LOLLIPOP454!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A8EA9F4" w14:textId="2CE1CC69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47" w14:textId="275015C0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10:30</w:t>
            </w:r>
          </w:p>
        </w:tc>
      </w:tr>
      <w:tr w:rsidR="001B2238" w:rsidRPr="00DE3654" w14:paraId="22174DDA" w14:textId="77777777" w:rsidTr="001B2238">
        <w:trPr>
          <w:trHeight w:val="273"/>
        </w:trPr>
        <w:tc>
          <w:tcPr>
            <w:tcW w:w="830" w:type="dxa"/>
          </w:tcPr>
          <w:p w14:paraId="214BD55E" w14:textId="77777777" w:rsidR="001B2238" w:rsidRPr="001B2238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75452F7E" w14:textId="705B6EDD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87172189MB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A3BE563" w14:textId="52ACDADD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77" w14:textId="462CBB00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10:45</w:t>
            </w:r>
          </w:p>
        </w:tc>
      </w:tr>
      <w:tr w:rsidR="001B2238" w:rsidRPr="00DE3654" w14:paraId="2C78E1BF" w14:textId="77777777" w:rsidTr="001B2238">
        <w:trPr>
          <w:trHeight w:val="273"/>
        </w:trPr>
        <w:tc>
          <w:tcPr>
            <w:tcW w:w="830" w:type="dxa"/>
          </w:tcPr>
          <w:p w14:paraId="3C59083A" w14:textId="77777777" w:rsidR="001B2238" w:rsidRPr="001B2238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3E9D72C3" w14:textId="1BC16344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2306H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9486693" w14:textId="7A775CB5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709" w14:textId="4F1998A8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11:00</w:t>
            </w:r>
          </w:p>
        </w:tc>
      </w:tr>
      <w:tr w:rsidR="001B2238" w:rsidRPr="00DE3654" w14:paraId="1A7F41D3" w14:textId="77777777" w:rsidTr="001B2238">
        <w:trPr>
          <w:trHeight w:val="273"/>
        </w:trPr>
        <w:tc>
          <w:tcPr>
            <w:tcW w:w="830" w:type="dxa"/>
          </w:tcPr>
          <w:p w14:paraId="7588E76C" w14:textId="77777777" w:rsidR="001B2238" w:rsidRPr="001B2238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20230216" w14:textId="4760B76A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MA1805!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A13D689" w14:textId="5716525B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B2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16" w14:textId="65371E41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11:15</w:t>
            </w:r>
          </w:p>
        </w:tc>
      </w:tr>
      <w:tr w:rsidR="001B2238" w:rsidRPr="00DE3654" w14:paraId="0C477FA8" w14:textId="77777777" w:rsidTr="001B2238">
        <w:trPr>
          <w:trHeight w:val="273"/>
        </w:trPr>
        <w:tc>
          <w:tcPr>
            <w:tcW w:w="830" w:type="dxa"/>
          </w:tcPr>
          <w:p w14:paraId="4B82713E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663F2778" w14:textId="35B64966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TR14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FDA1F88" w14:textId="6B2718A6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E54" w14:textId="760606A3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1D9FE9A3" w14:textId="77777777" w:rsidTr="001B2238">
        <w:trPr>
          <w:trHeight w:val="273"/>
        </w:trPr>
        <w:tc>
          <w:tcPr>
            <w:tcW w:w="830" w:type="dxa"/>
          </w:tcPr>
          <w:p w14:paraId="22BFC438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31D76A77" w14:textId="56D9E07C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SB 1983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01C3411" w14:textId="78C6DC02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C0A" w14:textId="603993FF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30D519E5" w14:textId="77777777" w:rsidTr="001B2238">
        <w:trPr>
          <w:trHeight w:val="273"/>
        </w:trPr>
        <w:tc>
          <w:tcPr>
            <w:tcW w:w="830" w:type="dxa"/>
          </w:tcPr>
          <w:p w14:paraId="01F1689C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2546C7EB" w14:textId="4DFF4DE0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31051102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7705266" w14:textId="30E473E5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D3C" w14:textId="144BC120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4381B85A" w14:textId="77777777" w:rsidTr="001B2238">
        <w:trPr>
          <w:trHeight w:val="273"/>
        </w:trPr>
        <w:tc>
          <w:tcPr>
            <w:tcW w:w="830" w:type="dxa"/>
          </w:tcPr>
          <w:p w14:paraId="51A0DD0C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234CFE43" w14:textId="0A45ED7C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ELA777!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BC30F34" w14:textId="5505EC82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6F0" w14:textId="393CB25B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3E89D3DE" w14:textId="77777777" w:rsidTr="001B2238">
        <w:trPr>
          <w:trHeight w:val="273"/>
        </w:trPr>
        <w:tc>
          <w:tcPr>
            <w:tcW w:w="830" w:type="dxa"/>
          </w:tcPr>
          <w:p w14:paraId="734C7487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571F5AD3" w14:textId="1EEE5944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LILLIUM6466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8EC2D30" w14:textId="78DB38FF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0CA" w14:textId="68931CB5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7AAA3DA9" w14:textId="77777777" w:rsidTr="001B2238">
        <w:trPr>
          <w:trHeight w:val="273"/>
        </w:trPr>
        <w:tc>
          <w:tcPr>
            <w:tcW w:w="830" w:type="dxa"/>
          </w:tcPr>
          <w:p w14:paraId="578D7FE4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6A702903" w14:textId="0396430A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SBCLAD26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BE25A76" w14:textId="1C3414FE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32A" w14:textId="6EC128D0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60BD7E0A" w14:textId="77777777" w:rsidTr="001B2238">
        <w:trPr>
          <w:trHeight w:val="273"/>
        </w:trPr>
        <w:tc>
          <w:tcPr>
            <w:tcW w:w="830" w:type="dxa"/>
          </w:tcPr>
          <w:p w14:paraId="07659886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5F990C98" w14:textId="453508C3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VAGABUNDO5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D84FABD" w14:textId="0A0BB8BA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E21" w14:textId="0347A455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3A5DA2EE" w14:textId="77777777" w:rsidTr="001B2238">
        <w:trPr>
          <w:trHeight w:val="273"/>
        </w:trPr>
        <w:tc>
          <w:tcPr>
            <w:tcW w:w="830" w:type="dxa"/>
          </w:tcPr>
          <w:p w14:paraId="69DDCA99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7CB23854" w14:textId="2D9B3767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AAJABL1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C27EC2B" w14:textId="5044E18F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EFE" w14:textId="6E781297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06BCBED9" w14:textId="77777777" w:rsidTr="001B2238">
        <w:trPr>
          <w:trHeight w:val="273"/>
        </w:trPr>
        <w:tc>
          <w:tcPr>
            <w:tcW w:w="830" w:type="dxa"/>
          </w:tcPr>
          <w:p w14:paraId="6FC4B7FA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68D2F564" w14:textId="36A92DEE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04082009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01CFC09" w14:textId="7D8DFB32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EA9" w14:textId="0E908AA5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6FEDF4A4" w14:textId="77777777" w:rsidTr="001B2238">
        <w:trPr>
          <w:trHeight w:val="273"/>
        </w:trPr>
        <w:tc>
          <w:tcPr>
            <w:tcW w:w="830" w:type="dxa"/>
          </w:tcPr>
          <w:p w14:paraId="7C96CD50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404F73F1" w14:textId="1353D031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KGVS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31FC462" w14:textId="4AEA9B9C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9A8" w14:textId="5A23860D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1B2238" w:rsidRPr="00DE3654" w14:paraId="68D7EDC7" w14:textId="77777777" w:rsidTr="001B2238">
        <w:trPr>
          <w:trHeight w:val="273"/>
        </w:trPr>
        <w:tc>
          <w:tcPr>
            <w:tcW w:w="830" w:type="dxa"/>
          </w:tcPr>
          <w:p w14:paraId="5111ED2F" w14:textId="77777777" w:rsidR="001B2238" w:rsidRPr="00953EA4" w:rsidRDefault="001B2238" w:rsidP="001B2238">
            <w:pPr>
              <w:pStyle w:val="Header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05" w:type="dxa"/>
          </w:tcPr>
          <w:p w14:paraId="37C50E66" w14:textId="11669B48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UTORAK 2026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DC62F3B" w14:textId="25607F9F" w:rsidR="001B2238" w:rsidRPr="001B2238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B8C" w14:textId="1FDA7DB6" w:rsidR="001B2238" w:rsidRPr="00953EA4" w:rsidRDefault="001B2238" w:rsidP="001B2238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6B00B717" w14:textId="77777777" w:rsidR="00A93843" w:rsidRDefault="00A93843" w:rsidP="00B64C21">
      <w:pPr>
        <w:pStyle w:val="Header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0F8B386F" w:rsidR="00C20A4A" w:rsidRPr="00DE3654" w:rsidRDefault="00C20A4A" w:rsidP="00B64C21">
      <w:pPr>
        <w:pStyle w:val="Header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>Na osnovu ostvarenih rezultata kandidata na testiranju, Komisija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utvrdila,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ova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F99E8C" w14:textId="321AAF3D" w:rsidR="00C20A4A" w:rsidRDefault="00805A8C" w:rsidP="00C20A4A">
      <w:pPr>
        <w:pStyle w:val="Header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26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0472E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10:</w:t>
      </w:r>
      <w:r w:rsidR="00D94C56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8A723AA" w14:textId="0652D2F9" w:rsidR="00B72A47" w:rsidRPr="004146B5" w:rsidRDefault="00BF27C7" w:rsidP="00B72A47">
      <w:pPr>
        <w:pStyle w:val="Header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146B5">
        <w:rPr>
          <w:rFonts w:ascii="Times New Roman" w:hAnsi="Times New Roman" w:cs="Times New Roman"/>
          <w:sz w:val="24"/>
          <w:szCs w:val="24"/>
          <w:lang w:val="pl-PL"/>
        </w:rPr>
        <w:lastRenderedPageBreak/>
        <w:t>Napomena:</w:t>
      </w:r>
    </w:p>
    <w:p w14:paraId="2B58FD7C" w14:textId="00D4E589" w:rsidR="004146B5" w:rsidRPr="00EE03B1" w:rsidRDefault="00B61622" w:rsidP="00B72A47">
      <w:pPr>
        <w:pStyle w:val="Head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3277839"/>
      <w:bookmarkStart w:id="1" w:name="_Hlk233279114"/>
      <w:proofErr w:type="spellStart"/>
      <w:r w:rsidRPr="00EE03B1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koji su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pristupili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testiranju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E03B1">
        <w:rPr>
          <w:rFonts w:ascii="Times New Roman" w:hAnsi="Times New Roman" w:cs="Times New Roman"/>
          <w:sz w:val="24"/>
          <w:szCs w:val="24"/>
        </w:rPr>
        <w:t>obavještavaju</w:t>
      </w:r>
      <w:proofErr w:type="spellEnd"/>
      <w:r w:rsidRPr="00EE03B1">
        <w:rPr>
          <w:rFonts w:ascii="Times New Roman" w:hAnsi="Times New Roman" w:cs="Times New Roman"/>
          <w:sz w:val="24"/>
          <w:szCs w:val="24"/>
        </w:rPr>
        <w:t xml:space="preserve"> da je </w:t>
      </w:r>
      <w:r w:rsidR="00B72A47" w:rsidRPr="00EE03B1">
        <w:rPr>
          <w:rFonts w:ascii="Times New Roman" w:hAnsi="Times New Roman" w:cs="Times New Roman"/>
          <w:sz w:val="24"/>
          <w:szCs w:val="24"/>
        </w:rPr>
        <w:t>Komisija</w:t>
      </w:r>
      <w:r w:rsidR="004146B5"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provedenog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utvrdila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greške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procedur</w:t>
      </w:r>
      <w:r w:rsidR="007B7354" w:rsidRPr="00EE03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pozivanja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. Naime,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usljed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administrativnog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propusta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pismeno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tes</w:t>
      </w:r>
      <w:r w:rsidR="007B7354" w:rsidRPr="00EE03B1">
        <w:rPr>
          <w:rFonts w:ascii="Times New Roman" w:hAnsi="Times New Roman" w:cs="Times New Roman"/>
          <w:sz w:val="24"/>
          <w:szCs w:val="24"/>
        </w:rPr>
        <w:t>t</w:t>
      </w:r>
      <w:r w:rsidR="004146B5" w:rsidRPr="00EE03B1">
        <w:rPr>
          <w:rFonts w:ascii="Times New Roman" w:hAnsi="Times New Roman" w:cs="Times New Roman"/>
          <w:sz w:val="24"/>
          <w:szCs w:val="24"/>
        </w:rPr>
        <w:t>iranje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nije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pozvan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prigovor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odbijanje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3B1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usvoje</w:t>
      </w:r>
      <w:r w:rsidR="007B7354" w:rsidRPr="00EE03B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146B5" w:rsidRPr="00EE03B1">
        <w:rPr>
          <w:rFonts w:ascii="Times New Roman" w:hAnsi="Times New Roman" w:cs="Times New Roman"/>
          <w:sz w:val="24"/>
          <w:szCs w:val="24"/>
        </w:rPr>
        <w:t xml:space="preserve">, čime je </w:t>
      </w:r>
      <w:proofErr w:type="spellStart"/>
      <w:r w:rsidR="004146B5" w:rsidRPr="00EE03B1">
        <w:rPr>
          <w:rFonts w:ascii="Times New Roman" w:hAnsi="Times New Roman" w:cs="Times New Roman"/>
          <w:sz w:val="24"/>
          <w:szCs w:val="24"/>
        </w:rPr>
        <w:t>prav</w:t>
      </w:r>
      <w:r w:rsidR="007B7354" w:rsidRPr="00EE03B1">
        <w:rPr>
          <w:rFonts w:ascii="Times New Roman" w:hAnsi="Times New Roman" w:cs="Times New Roman"/>
          <w:sz w:val="24"/>
          <w:szCs w:val="24"/>
        </w:rPr>
        <w:t>ovremeno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stekao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sve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54" w:rsidRPr="00EE03B1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 w:rsidR="007B7354" w:rsidRPr="00EE03B1">
        <w:rPr>
          <w:rFonts w:ascii="Times New Roman" w:hAnsi="Times New Roman" w:cs="Times New Roman"/>
          <w:sz w:val="24"/>
          <w:szCs w:val="24"/>
        </w:rPr>
        <w:t>.</w:t>
      </w:r>
    </w:p>
    <w:p w14:paraId="7C54B729" w14:textId="16CAA426" w:rsidR="007B7354" w:rsidRDefault="007B7354" w:rsidP="007B7354">
      <w:pPr>
        <w:pStyle w:val="NormalWeb"/>
        <w:jc w:val="both"/>
      </w:pPr>
      <w:r w:rsidRPr="004146B5">
        <w:t>U cilju osiguranja zakonitosti, jednakog tretmana svih kandidata i transparentnog provođenja procedure</w:t>
      </w:r>
      <w:r>
        <w:t xml:space="preserve"> javnog oglasa</w:t>
      </w:r>
      <w:r w:rsidRPr="004146B5">
        <w:t xml:space="preserve">, Komisija je </w:t>
      </w:r>
      <w:proofErr w:type="spellStart"/>
      <w:r w:rsidRPr="004146B5">
        <w:t>zaključila</w:t>
      </w:r>
      <w:proofErr w:type="spellEnd"/>
      <w:r w:rsidRPr="004146B5">
        <w:t xml:space="preserve"> da će se testiranje navedenog kandidata</w:t>
      </w:r>
      <w:r>
        <w:t xml:space="preserve"> provesti naknadno</w:t>
      </w:r>
      <w:r w:rsidRPr="004146B5">
        <w:t xml:space="preserve">, kao i eventualni intervju, ukoliko kandidat ostvari potreban </w:t>
      </w:r>
      <w:r w:rsidR="00EE03B1">
        <w:t>broj bodova</w:t>
      </w:r>
      <w:r w:rsidRPr="004146B5">
        <w:t xml:space="preserve"> na testu</w:t>
      </w:r>
      <w:r w:rsidR="00EE03B1">
        <w:t>.</w:t>
      </w:r>
    </w:p>
    <w:p w14:paraId="7707F3BC" w14:textId="056652B5" w:rsidR="00EE03B1" w:rsidRPr="004146B5" w:rsidRDefault="00EE03B1" w:rsidP="007B7354">
      <w:pPr>
        <w:pStyle w:val="NormalWeb"/>
        <w:jc w:val="both"/>
      </w:pPr>
      <w:r>
        <w:t xml:space="preserve">Planirani intervju za kandidate koji su uspješno </w:t>
      </w:r>
      <w:proofErr w:type="spellStart"/>
      <w:r>
        <w:t>položili</w:t>
      </w:r>
      <w:proofErr w:type="spellEnd"/>
      <w:r>
        <w:t xml:space="preserve"> test </w:t>
      </w:r>
      <w:proofErr w:type="spellStart"/>
      <w:r>
        <w:t>održat</w:t>
      </w:r>
      <w:proofErr w:type="spellEnd"/>
      <w:r>
        <w:t xml:space="preserve"> će se u zakazanim terminima, dok će konačni rezultati testiranj</w:t>
      </w:r>
      <w:r w:rsidR="00EB6D54">
        <w:t>a</w:t>
      </w:r>
      <w:r>
        <w:t xml:space="preserve"> biti ažurirani odmah nakon završetka testiranja naknadno pozvanog kandidata.</w:t>
      </w:r>
    </w:p>
    <w:bookmarkEnd w:id="1"/>
    <w:p w14:paraId="635A83AA" w14:textId="77777777" w:rsidR="007B7354" w:rsidRDefault="007B7354" w:rsidP="00B72A47">
      <w:pPr>
        <w:pStyle w:val="Header"/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0"/>
    <w:p w14:paraId="77D7FF43" w14:textId="77777777" w:rsidR="001B2238" w:rsidRDefault="001B2238" w:rsidP="00B72A47">
      <w:pPr>
        <w:pStyle w:val="Header"/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2CB30C1" w14:textId="506618F3" w:rsidR="001F4867" w:rsidRPr="009733FB" w:rsidRDefault="00C20A4A" w:rsidP="009733FB">
      <w:pPr>
        <w:pStyle w:val="Header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za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ljudske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resurse</w:t>
      </w:r>
      <w:proofErr w:type="spellEnd"/>
    </w:p>
    <w:sectPr w:rsidR="001F4867" w:rsidRPr="009733FB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1561" w14:textId="77777777" w:rsidR="00650F6D" w:rsidRDefault="00650F6D" w:rsidP="00983C7A">
      <w:pPr>
        <w:spacing w:after="0" w:line="240" w:lineRule="auto"/>
      </w:pPr>
      <w:r>
        <w:separator/>
      </w:r>
    </w:p>
  </w:endnote>
  <w:endnote w:type="continuationSeparator" w:id="0">
    <w:p w14:paraId="53B565EE" w14:textId="77777777" w:rsidR="00650F6D" w:rsidRDefault="00650F6D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Footer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Bosne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Hercegovine</w:t>
                          </w:r>
                          <w:proofErr w:type="spellEnd"/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Tita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25, 71000 Sarajevo, Bosna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yperlink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iperveza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95EBE" w14:textId="77777777" w:rsidR="00650F6D" w:rsidRDefault="00650F6D" w:rsidP="00983C7A">
      <w:pPr>
        <w:spacing w:after="0" w:line="240" w:lineRule="auto"/>
      </w:pPr>
      <w:r>
        <w:separator/>
      </w:r>
    </w:p>
  </w:footnote>
  <w:footnote w:type="continuationSeparator" w:id="0">
    <w:p w14:paraId="560DA72A" w14:textId="77777777" w:rsidR="00650F6D" w:rsidRDefault="00650F6D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Header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1494A"/>
    <w:rsid w:val="000472E6"/>
    <w:rsid w:val="000867B0"/>
    <w:rsid w:val="00094CF8"/>
    <w:rsid w:val="000C49A2"/>
    <w:rsid w:val="00156EE2"/>
    <w:rsid w:val="001859D8"/>
    <w:rsid w:val="001B2238"/>
    <w:rsid w:val="001B5B76"/>
    <w:rsid w:val="001F4867"/>
    <w:rsid w:val="001F4A99"/>
    <w:rsid w:val="00267684"/>
    <w:rsid w:val="00356621"/>
    <w:rsid w:val="00374BD1"/>
    <w:rsid w:val="004146B5"/>
    <w:rsid w:val="004526D8"/>
    <w:rsid w:val="004D4E1C"/>
    <w:rsid w:val="00552633"/>
    <w:rsid w:val="006275FC"/>
    <w:rsid w:val="00650F6D"/>
    <w:rsid w:val="00670F98"/>
    <w:rsid w:val="006D2274"/>
    <w:rsid w:val="007450A4"/>
    <w:rsid w:val="007B7354"/>
    <w:rsid w:val="00805A8C"/>
    <w:rsid w:val="0080699E"/>
    <w:rsid w:val="00953EA4"/>
    <w:rsid w:val="009733FB"/>
    <w:rsid w:val="00983C7A"/>
    <w:rsid w:val="009A0984"/>
    <w:rsid w:val="009A0B90"/>
    <w:rsid w:val="009D6319"/>
    <w:rsid w:val="009E041F"/>
    <w:rsid w:val="00A071BF"/>
    <w:rsid w:val="00A93843"/>
    <w:rsid w:val="00B02ED8"/>
    <w:rsid w:val="00B117A0"/>
    <w:rsid w:val="00B2213C"/>
    <w:rsid w:val="00B61622"/>
    <w:rsid w:val="00B64C21"/>
    <w:rsid w:val="00B72A47"/>
    <w:rsid w:val="00B90B9D"/>
    <w:rsid w:val="00BA2EAF"/>
    <w:rsid w:val="00BF27C7"/>
    <w:rsid w:val="00C140B3"/>
    <w:rsid w:val="00C20A4A"/>
    <w:rsid w:val="00C21B74"/>
    <w:rsid w:val="00C26CD7"/>
    <w:rsid w:val="00C9738F"/>
    <w:rsid w:val="00D038B9"/>
    <w:rsid w:val="00D24E09"/>
    <w:rsid w:val="00D451D3"/>
    <w:rsid w:val="00D730EC"/>
    <w:rsid w:val="00D9325A"/>
    <w:rsid w:val="00D94C56"/>
    <w:rsid w:val="00DE1ADF"/>
    <w:rsid w:val="00DE2BCC"/>
    <w:rsid w:val="00DE3654"/>
    <w:rsid w:val="00DE56EC"/>
    <w:rsid w:val="00DE77F6"/>
    <w:rsid w:val="00EB6D54"/>
    <w:rsid w:val="00EE03B1"/>
    <w:rsid w:val="00EE452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53EA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83C7A"/>
  </w:style>
  <w:style w:type="paragraph" w:styleId="Footer">
    <w:name w:val="footer"/>
    <w:basedOn w:val="Normal"/>
    <w:link w:val="FooterChar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83C7A"/>
  </w:style>
  <w:style w:type="paragraph" w:styleId="ListParagraph">
    <w:name w:val="List Paragraph"/>
    <w:basedOn w:val="Normal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yperlink">
    <w:name w:val="Hyperlink"/>
    <w:basedOn w:val="DefaultParagraphFont"/>
    <w:uiPriority w:val="99"/>
    <w:unhideWhenUsed/>
    <w:rsid w:val="006D227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53EA4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customStyle="1" w:styleId="isselectedend">
    <w:name w:val="isselectedend"/>
    <w:basedOn w:val="Normal"/>
    <w:rsid w:val="00B72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B72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customXml/itemProps5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HR</cp:lastModifiedBy>
  <cp:revision>3</cp:revision>
  <cp:lastPrinted>2022-03-25T09:09:00Z</cp:lastPrinted>
  <dcterms:created xsi:type="dcterms:W3CDTF">2026-06-25T08:59:00Z</dcterms:created>
  <dcterms:modified xsi:type="dcterms:W3CDTF">2026-06-25T09:32:00Z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