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D5808" w14:textId="77777777" w:rsidR="00B152DA" w:rsidRPr="007F1F82" w:rsidRDefault="00B152DA">
      <w:pPr>
        <w:rPr>
          <w:rFonts w:ascii="Times New Roman" w:hAnsi="Times New Roman" w:cs="Times New Roman"/>
          <w:noProof/>
          <w:lang w:val="sr-Cyrl-CS"/>
        </w:rPr>
      </w:pPr>
    </w:p>
    <w:p w14:paraId="5E66FBAD" w14:textId="77777777" w:rsidR="00B152DA" w:rsidRPr="007F1F82" w:rsidRDefault="00B152DA">
      <w:pPr>
        <w:rPr>
          <w:rFonts w:ascii="Times New Roman" w:hAnsi="Times New Roman" w:cs="Times New Roman"/>
          <w:noProof/>
          <w:lang w:val="sr-Cyrl-CS"/>
        </w:rPr>
      </w:pPr>
    </w:p>
    <w:p w14:paraId="2FD214B5" w14:textId="259AA426" w:rsidR="00B152DA" w:rsidRPr="007F1F82" w:rsidRDefault="007F1F82" w:rsidP="000E1BEA">
      <w:pPr>
        <w:jc w:val="center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М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Е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Л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Г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</w:t>
      </w:r>
    </w:p>
    <w:p w14:paraId="29713D12" w14:textId="281D680B" w:rsidR="00B152DA" w:rsidRPr="007F1F82" w:rsidRDefault="007F1F82" w:rsidP="000E1BEA">
      <w:pPr>
        <w:jc w:val="center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Анкете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кредитној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активности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</w:p>
    <w:p w14:paraId="7840A2CB" w14:textId="77777777" w:rsidR="00B152DA" w:rsidRPr="007F1F82" w:rsidRDefault="00B152DA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62B23BFB" w14:textId="133A5980" w:rsidR="00B152DA" w:rsidRPr="007F1F82" w:rsidRDefault="007F1F82">
      <w:pPr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Увод</w:t>
      </w:r>
    </w:p>
    <w:p w14:paraId="6AB3FE4C" w14:textId="31D1FD7B" w:rsidR="00B152DA" w:rsidRPr="007F1F82" w:rsidRDefault="007F1F82" w:rsidP="008C0227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Овом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методологијом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дефинише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садржај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Анкете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кредитној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активност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начин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провођења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презентација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резултата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Анкета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кредитној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активности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коју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успоставила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Централна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банка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БиХ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септембру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2020.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године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кварталној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основи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усклађена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истим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истраживањем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које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проводи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централним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банкама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8C022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зони</w:t>
      </w:r>
      <w:r w:rsidR="008C022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евра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271FA4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Bank</w:t>
      </w:r>
      <w:r w:rsidR="00271FA4" w:rsidRPr="007F1F8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Lending</w:t>
      </w:r>
      <w:r w:rsidR="00271FA4" w:rsidRPr="007F1F8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Surve</w:t>
      </w:r>
      <w:r w:rsidR="00271FA4" w:rsidRPr="007F1F8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y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BLS</w:t>
      </w:r>
      <w:r w:rsidR="00271FA4" w:rsidRPr="007F1F8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</w:t>
      </w:r>
      <w:hyperlink r:id="rId4" w:history="1">
        <w:r>
          <w:rPr>
            <w:rStyle w:val="Hyperlink"/>
            <w:noProof/>
            <w:lang w:val="sr-Latn-CS"/>
          </w:rPr>
          <w:t>https</w:t>
        </w:r>
        <w:r w:rsidR="003C2C41" w:rsidRPr="007F1F82">
          <w:rPr>
            <w:rStyle w:val="Hyperlink"/>
            <w:noProof/>
            <w:lang w:val="sr-Latn-CS"/>
          </w:rPr>
          <w:t>://www.</w:t>
        </w:r>
        <w:r>
          <w:rPr>
            <w:rStyle w:val="Hyperlink"/>
            <w:noProof/>
            <w:lang w:val="sr-Latn-CS"/>
          </w:rPr>
          <w:t>ecb</w:t>
        </w:r>
        <w:r w:rsidR="003C2C41" w:rsidRPr="007F1F82">
          <w:rPr>
            <w:rStyle w:val="Hyperlink"/>
            <w:noProof/>
            <w:lang w:val="sr-Latn-CS"/>
          </w:rPr>
          <w:t>.</w:t>
        </w:r>
        <w:r>
          <w:rPr>
            <w:rStyle w:val="Hyperlink"/>
            <w:noProof/>
            <w:lang w:val="sr-Latn-CS"/>
          </w:rPr>
          <w:t>europa</w:t>
        </w:r>
        <w:r w:rsidR="003C2C41" w:rsidRPr="007F1F82">
          <w:rPr>
            <w:rStyle w:val="Hyperlink"/>
            <w:noProof/>
            <w:lang w:val="sr-Latn-CS"/>
          </w:rPr>
          <w:t>.</w:t>
        </w:r>
        <w:r>
          <w:rPr>
            <w:rStyle w:val="Hyperlink"/>
            <w:noProof/>
            <w:lang w:val="sr-Latn-CS"/>
          </w:rPr>
          <w:t>eu</w:t>
        </w:r>
        <w:r w:rsidR="003C2C41" w:rsidRPr="007F1F82">
          <w:rPr>
            <w:rStyle w:val="Hyperlink"/>
            <w:noProof/>
            <w:lang w:val="sr-Latn-CS"/>
          </w:rPr>
          <w:t>/</w:t>
        </w:r>
        <w:r>
          <w:rPr>
            <w:rStyle w:val="Hyperlink"/>
            <w:noProof/>
            <w:lang w:val="sr-Latn-CS"/>
          </w:rPr>
          <w:t>stats</w:t>
        </w:r>
        <w:r w:rsidR="003C2C41" w:rsidRPr="007F1F82">
          <w:rPr>
            <w:rStyle w:val="Hyperlink"/>
            <w:noProof/>
            <w:lang w:val="sr-Latn-CS"/>
          </w:rPr>
          <w:t>/</w:t>
        </w:r>
        <w:r>
          <w:rPr>
            <w:rStyle w:val="Hyperlink"/>
            <w:noProof/>
            <w:lang w:val="sr-Latn-CS"/>
          </w:rPr>
          <w:t>ecb</w:t>
        </w:r>
        <w:r w:rsidR="003C2C41" w:rsidRPr="007F1F82">
          <w:rPr>
            <w:rStyle w:val="Hyperlink"/>
            <w:noProof/>
            <w:lang w:val="sr-Latn-CS"/>
          </w:rPr>
          <w:t>_</w:t>
        </w:r>
        <w:r>
          <w:rPr>
            <w:rStyle w:val="Hyperlink"/>
            <w:noProof/>
            <w:lang w:val="sr-Latn-CS"/>
          </w:rPr>
          <w:t>surve</w:t>
        </w:r>
        <w:r w:rsidR="003C2C41" w:rsidRPr="007F1F82">
          <w:rPr>
            <w:rStyle w:val="Hyperlink"/>
            <w:noProof/>
            <w:lang w:val="sr-Latn-CS"/>
          </w:rPr>
          <w:t>y</w:t>
        </w:r>
        <w:r>
          <w:rPr>
            <w:rStyle w:val="Hyperlink"/>
            <w:noProof/>
            <w:lang w:val="sr-Latn-CS"/>
          </w:rPr>
          <w:t>s</w:t>
        </w:r>
        <w:r w:rsidR="003C2C41" w:rsidRPr="007F1F82">
          <w:rPr>
            <w:rStyle w:val="Hyperlink"/>
            <w:noProof/>
            <w:lang w:val="sr-Latn-CS"/>
          </w:rPr>
          <w:t>/</w:t>
        </w:r>
        <w:r>
          <w:rPr>
            <w:rStyle w:val="Hyperlink"/>
            <w:noProof/>
            <w:lang w:val="sr-Latn-CS"/>
          </w:rPr>
          <w:t>bank</w:t>
        </w:r>
        <w:r w:rsidR="003C2C41" w:rsidRPr="007F1F82">
          <w:rPr>
            <w:rStyle w:val="Hyperlink"/>
            <w:noProof/>
            <w:lang w:val="sr-Latn-CS"/>
          </w:rPr>
          <w:t>_</w:t>
        </w:r>
        <w:r>
          <w:rPr>
            <w:rStyle w:val="Hyperlink"/>
            <w:noProof/>
            <w:lang w:val="sr-Latn-CS"/>
          </w:rPr>
          <w:t>lending</w:t>
        </w:r>
        <w:r w:rsidR="003C2C41" w:rsidRPr="007F1F82">
          <w:rPr>
            <w:rStyle w:val="Hyperlink"/>
            <w:noProof/>
            <w:lang w:val="sr-Latn-CS"/>
          </w:rPr>
          <w:t>_</w:t>
        </w:r>
        <w:r>
          <w:rPr>
            <w:rStyle w:val="Hyperlink"/>
            <w:noProof/>
            <w:lang w:val="sr-Latn-CS"/>
          </w:rPr>
          <w:t>surve</w:t>
        </w:r>
        <w:r w:rsidR="003C2C41" w:rsidRPr="007F1F82">
          <w:rPr>
            <w:rStyle w:val="Hyperlink"/>
            <w:noProof/>
            <w:lang w:val="sr-Latn-CS"/>
          </w:rPr>
          <w:t>y/</w:t>
        </w:r>
        <w:r>
          <w:rPr>
            <w:rStyle w:val="Hyperlink"/>
            <w:noProof/>
            <w:lang w:val="sr-Latn-CS"/>
          </w:rPr>
          <w:t>html</w:t>
        </w:r>
        <w:r w:rsidR="003C2C41" w:rsidRPr="007F1F82">
          <w:rPr>
            <w:rStyle w:val="Hyperlink"/>
            <w:noProof/>
            <w:lang w:val="sr-Latn-CS"/>
          </w:rPr>
          <w:t>/</w:t>
        </w:r>
        <w:r>
          <w:rPr>
            <w:rStyle w:val="Hyperlink"/>
            <w:noProof/>
            <w:lang w:val="sr-Latn-CS"/>
          </w:rPr>
          <w:t>inde</w:t>
        </w:r>
        <w:r w:rsidR="003C2C41" w:rsidRPr="007F1F82">
          <w:rPr>
            <w:rStyle w:val="Hyperlink"/>
            <w:noProof/>
            <w:lang w:val="sr-Latn-CS"/>
          </w:rPr>
          <w:t>x.</w:t>
        </w:r>
        <w:r>
          <w:rPr>
            <w:rStyle w:val="Hyperlink"/>
            <w:noProof/>
            <w:lang w:val="sr-Latn-CS"/>
          </w:rPr>
          <w:t>en</w:t>
        </w:r>
        <w:r w:rsidR="003C2C41" w:rsidRPr="007F1F82">
          <w:rPr>
            <w:rStyle w:val="Hyperlink"/>
            <w:noProof/>
            <w:lang w:val="sr-Latn-CS"/>
          </w:rPr>
          <w:t>.</w:t>
        </w:r>
        <w:r>
          <w:rPr>
            <w:rStyle w:val="Hyperlink"/>
            <w:noProof/>
            <w:lang w:val="sr-Latn-CS"/>
          </w:rPr>
          <w:t>html</w:t>
        </w:r>
      </w:hyperlink>
      <w:r w:rsidR="00271FA4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уз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одређена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прилагођавања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специфичностима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кредитног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тржишта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БиХ</w:t>
      </w:r>
      <w:r w:rsidR="00B152D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14:paraId="162F9BF4" w14:textId="77777777" w:rsidR="00B152DA" w:rsidRPr="007F1F82" w:rsidRDefault="00B152DA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3B7E9A29" w14:textId="3B96C98E" w:rsidR="00B152DA" w:rsidRPr="007F1F82" w:rsidRDefault="007F1F82">
      <w:pPr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Циљ</w:t>
      </w:r>
      <w:r w:rsidR="007B6FDC" w:rsidRPr="007F1F82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анкете</w:t>
      </w:r>
    </w:p>
    <w:p w14:paraId="02ECEB6B" w14:textId="5FF6375E" w:rsidR="007B6FDC" w:rsidRPr="007F1F82" w:rsidRDefault="007F1F82" w:rsidP="000E1BEA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Циљ</w:t>
      </w:r>
      <w:r w:rsidR="007B6FD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анкете</w:t>
      </w:r>
      <w:r w:rsidR="007B6FD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7B6FD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="007B6FD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7B6FD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стекне</w:t>
      </w:r>
      <w:r w:rsidR="007B6FD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увид</w:t>
      </w:r>
      <w:r w:rsidR="007B6FD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7B6FD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кретање</w:t>
      </w:r>
      <w:r w:rsidR="007B6FD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стандарда</w:t>
      </w:r>
      <w:r w:rsidR="007B6FD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7B6FD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услова</w:t>
      </w:r>
      <w:r w:rsidR="007B6FD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кредитирања</w:t>
      </w:r>
      <w:r w:rsidR="007B6FD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као</w:t>
      </w:r>
      <w:r w:rsidR="007B6FD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7B6FD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кретање</w:t>
      </w:r>
      <w:r w:rsidR="007B6FD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потражње</w:t>
      </w:r>
      <w:r w:rsidR="007B6FD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7B6FD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кредитима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банкарском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сектору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БиХ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Провођењем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Анкете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кредитној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активности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Централна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банка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БиХ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настоји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унаприједи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квалитет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анализе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кредитном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тржишту</w:t>
      </w:r>
      <w:r w:rsidR="007E1A1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као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анализе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фактора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понуде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потражње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кредитима</w:t>
      </w:r>
      <w:r w:rsidR="00871C5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Анкета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путем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јасно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структу</w:t>
      </w:r>
      <w:r w:rsidR="008C0227">
        <w:rPr>
          <w:rFonts w:ascii="Times New Roman" w:hAnsi="Times New Roman" w:cs="Times New Roman"/>
          <w:noProof/>
          <w:sz w:val="24"/>
          <w:szCs w:val="24"/>
          <w:lang w:val="sr-Cyrl-CS"/>
        </w:rPr>
        <w:t>р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ираног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упитника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обезбјеђује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квалитативне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информације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кретању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кредитном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тржишту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директно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репрезентативног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узорка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које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послују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кредитном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тржишту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БиХ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Анкета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обухвата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посматрани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развој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кредитних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стандарда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кредитне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потражње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претходном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кварталу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као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очекивана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кретања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наредном</w:t>
      </w:r>
      <w:r w:rsidR="00A6439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кварталу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Квалитативне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информације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Анкете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кредитним</w:t>
      </w:r>
      <w:r w:rsidR="000F529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активностима</w:t>
      </w:r>
      <w:r w:rsidR="000F529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  <w:r w:rsidR="000F529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0F529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стандардима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условима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  <w:r w:rsidR="007E1A1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као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понуде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потражње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кредитима</w:t>
      </w:r>
      <w:r w:rsidR="007E1A1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заједно</w:t>
      </w:r>
      <w:r w:rsidR="001D3981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</w:t>
      </w:r>
      <w:r w:rsidR="001D3981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квантитативном</w:t>
      </w:r>
      <w:r w:rsidR="001D3981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статистиком</w:t>
      </w:r>
      <w:r w:rsidR="001D3981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1D3981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каматним</w:t>
      </w:r>
      <w:r w:rsidR="001D3981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стопама</w:t>
      </w:r>
      <w:r w:rsidR="001D3981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1D3981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кредитима</w:t>
      </w:r>
      <w:r w:rsidR="001D3981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  <w:r w:rsidR="007E1A1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  <w:r w:rsidR="001D3981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доприносе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бољој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анализи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оцјени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кретања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кредитном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тржишту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том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смислу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су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корисне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свим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економским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субјектима</w:t>
      </w:r>
      <w:r w:rsidR="0008028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14:paraId="56101726" w14:textId="77777777" w:rsidR="00E421D8" w:rsidRPr="007F1F82" w:rsidRDefault="00E421D8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4254FE40" w14:textId="24329054" w:rsidR="00E421D8" w:rsidRPr="007F1F82" w:rsidRDefault="007F1F82">
      <w:pPr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Обухват</w:t>
      </w:r>
      <w:r w:rsidR="001A49EA" w:rsidRPr="007F1F82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анкете</w:t>
      </w:r>
    </w:p>
    <w:p w14:paraId="51AAA7E1" w14:textId="67B277DB" w:rsidR="001A49EA" w:rsidRPr="007F1F82" w:rsidRDefault="007F1F82" w:rsidP="001A49EA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Анкетом</w:t>
      </w:r>
      <w:r w:rsidR="000660E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0660E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обухваћен</w:t>
      </w:r>
      <w:r w:rsidR="000660E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репрезентативни</w:t>
      </w:r>
      <w:r w:rsidR="000660E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узорак</w:t>
      </w:r>
      <w:r w:rsidR="000660E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  <w:r w:rsidR="000660E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највећим</w:t>
      </w:r>
      <w:r w:rsidR="00F56CA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учешћем</w:t>
      </w:r>
      <w:r w:rsidR="00F56CA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активе</w:t>
      </w:r>
      <w:r w:rsidR="00F56CA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0660E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банкарском</w:t>
      </w:r>
      <w:r w:rsidR="000660E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сектору</w:t>
      </w:r>
      <w:r w:rsidR="000660E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0660E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Босни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Херцеговини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почетку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сваке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године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ће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вршити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ревизија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узорка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бази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величине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активе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крају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претходне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године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Анкетни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образац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попуњава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особље</w:t>
      </w:r>
      <w:r w:rsidR="000F529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  <w:r w:rsidR="000F529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које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одлучује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условима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одобравања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кредита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добро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познаје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кретања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тржишту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кредита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Питања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су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креирана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тако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потребних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информација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дође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уз</w:t>
      </w:r>
      <w:r w:rsidR="001A49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минимално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оптерећење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учесника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треба</w:t>
      </w:r>
      <w:r w:rsidR="00305F8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да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</w:t>
      </w:r>
      <w:r w:rsidR="00305F8C">
        <w:rPr>
          <w:rFonts w:ascii="Times New Roman" w:hAnsi="Times New Roman" w:cs="Times New Roman"/>
          <w:noProof/>
          <w:sz w:val="24"/>
          <w:szCs w:val="24"/>
          <w:lang w:val="sr-Cyrl-CS"/>
        </w:rPr>
        <w:t>уду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непристрасни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давању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одговора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14:paraId="1AF73948" w14:textId="21009BAC" w:rsidR="00D95243" w:rsidRPr="007F1F82" w:rsidRDefault="007F1F82" w:rsidP="001A49EA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lastRenderedPageBreak/>
        <w:t>Тајност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појединачних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одговора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подразумијева</w:t>
      </w:r>
      <w:r w:rsidR="00C533ED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  <w:r w:rsidR="00F56CA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</w:t>
      </w:r>
      <w:r w:rsidR="00F56CA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презентација</w:t>
      </w:r>
      <w:r w:rsidR="00F56CA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резултата</w:t>
      </w:r>
      <w:r w:rsidR="00F56CA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ће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вршити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само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основу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агрег</w:t>
      </w:r>
      <w:r w:rsidR="00305F8C">
        <w:rPr>
          <w:rFonts w:ascii="Times New Roman" w:hAnsi="Times New Roman" w:cs="Times New Roman"/>
          <w:noProof/>
          <w:sz w:val="24"/>
          <w:szCs w:val="24"/>
          <w:lang w:val="sr-Cyrl-CS"/>
        </w:rPr>
        <w:t>атних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резултата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анкетног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истраживања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14:paraId="195D5121" w14:textId="77777777" w:rsidR="00C554A5" w:rsidRPr="007F1F82" w:rsidRDefault="00C554A5" w:rsidP="001A49EA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2BFE2DE4" w14:textId="299611AA" w:rsidR="00D95243" w:rsidRPr="007F1F82" w:rsidRDefault="007F1F82" w:rsidP="001A49EA">
      <w:pPr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Садржај</w:t>
      </w:r>
      <w:r w:rsidR="00D95243" w:rsidRPr="007F1F82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и</w:t>
      </w:r>
      <w:r w:rsidR="00C17BE2" w:rsidRPr="007F1F82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начин</w:t>
      </w:r>
      <w:r w:rsidR="00C17BE2" w:rsidRPr="007F1F82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попуњавања</w:t>
      </w:r>
      <w:r w:rsidR="00C17BE2" w:rsidRPr="007F1F82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анкете</w:t>
      </w:r>
    </w:p>
    <w:p w14:paraId="51334191" w14:textId="1CDBD52A" w:rsidR="00D95243" w:rsidRPr="007F1F82" w:rsidRDefault="007F1F82" w:rsidP="00D95243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Анкету</w:t>
      </w:r>
      <w:r w:rsidR="000660E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банке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достављају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електронски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15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дана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истеку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извјештајног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квартала</w:t>
      </w:r>
      <w:r w:rsidR="007E1A1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објава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резултата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анкете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два</w:t>
      </w:r>
      <w:r w:rsidR="006733C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мјесеца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истеку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извјештајног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квартала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14:paraId="36674B4B" w14:textId="70744617" w:rsidR="000E1BEA" w:rsidRPr="007F1F82" w:rsidRDefault="007F1F82" w:rsidP="00D95243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Структура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формату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е</w:t>
      </w:r>
      <w:r w:rsidR="00305F8C">
        <w:rPr>
          <w:rFonts w:ascii="Times New Roman" w:hAnsi="Times New Roman" w:cs="Times New Roman"/>
          <w:noProof/>
          <w:sz w:val="24"/>
          <w:szCs w:val="24"/>
          <w:lang w:val="sr-Cyrl-CS"/>
        </w:rPr>
        <w:t>ксел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табеле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0F529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фиксна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тј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није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предвиђена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могућност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додавања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редова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колона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промјене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величине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фонта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слично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стране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учесника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14:paraId="33C03A23" w14:textId="37B1DD30" w:rsidR="000E1BEA" w:rsidRPr="007F1F82" w:rsidRDefault="007F1F82" w:rsidP="00D95243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почетном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лијевом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углу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анкетног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обрасца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потребно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навести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шифру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банке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састоји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13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знакова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контакт</w:t>
      </w:r>
      <w:r w:rsidR="00DE3BF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особу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ће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испуњавати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анкетни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образац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Први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дио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шифре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“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КБ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”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означава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ради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комерцијалној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банци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, “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ГГММ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”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означава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датум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извјештајног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квартала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година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мјесец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).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Други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дио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назива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“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НННН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”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представља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шифру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банке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трећи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дио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шифре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означава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назив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извјештаја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(3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словна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знака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уписати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КАБ</w:t>
      </w:r>
      <w:r w:rsidR="00764B4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што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представља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скраћеницу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кредитној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активности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),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тако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ће</w:t>
      </w:r>
      <w:r w:rsidR="00764B4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305F8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примјер</w:t>
      </w:r>
      <w:r w:rsidR="00764B4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извјештај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једне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банке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трећи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квартал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202</w:t>
      </w:r>
      <w:r w:rsidR="004B28D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1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године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имати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сљедећу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шифру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КБ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2</w:t>
      </w:r>
      <w:r w:rsidR="004B28D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1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09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ННННКАБ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чему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ће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банка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умјесто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НННН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назначити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своју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шифру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</w:p>
    <w:p w14:paraId="70832BE6" w14:textId="4D89FAAC" w:rsidR="00D95243" w:rsidRPr="007F1F82" w:rsidRDefault="007F1F82" w:rsidP="00D95243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садржи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16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питања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подијељена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двије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групе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прва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група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питања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односи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линије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предузећима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питања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1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8),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друга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група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питања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4B28D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односи</w:t>
      </w:r>
      <w:r w:rsidR="004B28D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становништва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питања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9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16).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Првих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шест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питања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обје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групе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односи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кретања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претходна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три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мјесеца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посљедња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два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питања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односе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очекивања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наредна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три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мјесеца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Када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питању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линије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предузећима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питања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су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подијељена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према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рочној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структури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краткорочни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дугорочни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),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док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код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становништва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подјела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направљена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према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намјени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кредита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стамбени</w:t>
      </w:r>
      <w:r w:rsidR="000660E6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потрошачки</w:t>
      </w:r>
      <w:r w:rsidR="004B28D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ненамјенски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кредити</w:t>
      </w:r>
      <w:r w:rsidR="00D95243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). </w:t>
      </w:r>
    </w:p>
    <w:p w14:paraId="733818ED" w14:textId="661E9B3C" w:rsidR="00C17BE2" w:rsidRPr="007F1F82" w:rsidRDefault="007F1F82" w:rsidP="004C6F81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све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категорије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постављају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питања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кредитним</w:t>
      </w:r>
      <w:r w:rsidR="00C17BE2" w:rsidRPr="007F1F82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стандардима</w:t>
      </w:r>
      <w:r w:rsidR="00C17BE2" w:rsidRPr="007F1F82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и</w:t>
      </w:r>
      <w:r w:rsidR="00C17BE2" w:rsidRPr="007F1F82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условима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одобравање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 </w:t>
      </w:r>
      <w:r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потражњи</w:t>
      </w:r>
      <w:r w:rsidR="00C17BE2" w:rsidRPr="007F1F82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за</w:t>
      </w:r>
      <w:r w:rsidR="00C17BE2" w:rsidRPr="007F1F82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кредитима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факторима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утичу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услове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понуде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потражње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учешћу</w:t>
      </w:r>
      <w:r w:rsidR="00C17BE2" w:rsidRPr="007F1F82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одбијених</w:t>
      </w:r>
      <w:r w:rsidR="00C17BE2" w:rsidRPr="007F1F82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кредита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</w:p>
    <w:p w14:paraId="4A213E66" w14:textId="7E591629" w:rsidR="00C17BE2" w:rsidRPr="007F1F82" w:rsidRDefault="007F1F82" w:rsidP="00C17BE2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Кредитни</w:t>
      </w:r>
      <w:r w:rsidR="00C17BE2" w:rsidRPr="007F1F82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стандарди</w:t>
      </w:r>
      <w:r w:rsidR="00C17BE2" w:rsidRPr="007F1F82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подразумијевају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критериј</w:t>
      </w:r>
      <w:r w:rsidR="00BB3AE3">
        <w:rPr>
          <w:rFonts w:ascii="Times New Roman" w:hAnsi="Times New Roman" w:cs="Times New Roman"/>
          <w:noProof/>
          <w:sz w:val="24"/>
          <w:szCs w:val="24"/>
          <w:lang w:val="sr-Cyrl-CS"/>
        </w:rPr>
        <w:t>ум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одобрење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/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или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кредитних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линија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стране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банке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којима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дефинишу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прихватљивост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колатерала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бонитет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дужника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  <w:r w:rsidR="004B28D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висина</w:t>
      </w:r>
      <w:r w:rsidR="004B28D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дохотка</w:t>
      </w:r>
      <w:r w:rsidR="004B28D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доб</w:t>
      </w:r>
      <w:r w:rsidR="004B28D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радни</w:t>
      </w:r>
      <w:r w:rsidR="004B28D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статус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итд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укључујући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интерна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упутства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промјене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политици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одобрења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њеној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примјени</w:t>
      </w:r>
      <w:r w:rsidR="00C17BE2" w:rsidRPr="007F1F82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Кредитни</w:t>
      </w:r>
      <w:r w:rsidR="00F56CA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стандарди</w:t>
      </w:r>
      <w:r w:rsidR="00F56CA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F56CA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примјењују</w:t>
      </w:r>
      <w:r w:rsidR="00F56CA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прије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почетка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преговора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условима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одобравања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или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одбијања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захтјева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</w:p>
    <w:p w14:paraId="7863A418" w14:textId="23292235" w:rsidR="00C17BE2" w:rsidRPr="007F1F82" w:rsidRDefault="007F1F82" w:rsidP="00C17BE2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Кредитни</w:t>
      </w:r>
      <w:r w:rsidR="00C17BE2" w:rsidRPr="007F1F82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услови</w:t>
      </w:r>
      <w:r w:rsidR="00C17BE2" w:rsidRPr="007F1F82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подразумијевају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обавезне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елементе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уговора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кредиту</w:t>
      </w:r>
      <w:r w:rsidR="00764B4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односно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кредитној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линији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између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банке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дужника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износ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каматна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стопа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трошкови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провизије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накнада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захтијевани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колатерал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или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гаранције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дужник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треба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обезбиједи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рочност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итд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.).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Утврђују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зависности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бонитета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дужника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могу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мијењати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истовремено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кредитним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стандардима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или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независно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њих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14:paraId="219B3324" w14:textId="54751FB4" w:rsidR="00C17BE2" w:rsidRPr="007F1F82" w:rsidRDefault="007F1F82" w:rsidP="004C6F81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lastRenderedPageBreak/>
        <w:t>Од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учесника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тражи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назначе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једну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промјену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скали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понуђених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пет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опција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тако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што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уписују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“x”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одговарајућу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ћелију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анкетном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обрасцу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указујући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интензитет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пооштравања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или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ублажавања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питања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односе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понуду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или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интензитет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смањења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или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повећања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промјене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питања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односе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тражњу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кредитима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).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свако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питање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потребно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навести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интензитет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смјер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промјене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уписујући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“x”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ћелију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испод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поља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:</w:t>
      </w:r>
    </w:p>
    <w:p w14:paraId="5A05C0D2" w14:textId="5BAD12A2" w:rsidR="00C17BE2" w:rsidRPr="007F1F82" w:rsidRDefault="004B28DF" w:rsidP="00C17BE2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(-2) </w:t>
      </w:r>
      <w:r w:rsidR="007F1F82">
        <w:rPr>
          <w:rFonts w:ascii="Times New Roman" w:hAnsi="Times New Roman" w:cs="Times New Roman"/>
          <w:noProof/>
          <w:sz w:val="24"/>
          <w:szCs w:val="24"/>
          <w:lang w:val="sr-Cyrl-CS"/>
        </w:rPr>
        <w:t>знатно</w:t>
      </w:r>
      <w:r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7F1F82">
        <w:rPr>
          <w:rFonts w:ascii="Times New Roman" w:hAnsi="Times New Roman" w:cs="Times New Roman"/>
          <w:noProof/>
          <w:sz w:val="24"/>
          <w:szCs w:val="24"/>
          <w:lang w:val="sr-Cyrl-CS"/>
        </w:rPr>
        <w:t>пооштравање</w:t>
      </w:r>
      <w:r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/</w:t>
      </w:r>
      <w:r w:rsidR="007F1F82">
        <w:rPr>
          <w:rFonts w:ascii="Times New Roman" w:hAnsi="Times New Roman" w:cs="Times New Roman"/>
          <w:noProof/>
          <w:sz w:val="24"/>
          <w:szCs w:val="24"/>
          <w:lang w:val="sr-Cyrl-CS"/>
        </w:rPr>
        <w:t>смањење</w:t>
      </w:r>
      <w:r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(-1) </w:t>
      </w:r>
      <w:r w:rsidR="007F1F82">
        <w:rPr>
          <w:rFonts w:ascii="Times New Roman" w:hAnsi="Times New Roman" w:cs="Times New Roman"/>
          <w:noProof/>
          <w:sz w:val="24"/>
          <w:szCs w:val="24"/>
          <w:lang w:val="sr-Cyrl-CS"/>
        </w:rPr>
        <w:t>умјерено</w:t>
      </w:r>
      <w:r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7F1F82">
        <w:rPr>
          <w:rFonts w:ascii="Times New Roman" w:hAnsi="Times New Roman" w:cs="Times New Roman"/>
          <w:noProof/>
          <w:sz w:val="24"/>
          <w:szCs w:val="24"/>
          <w:lang w:val="sr-Cyrl-CS"/>
        </w:rPr>
        <w:t>пооштравање</w:t>
      </w:r>
      <w:r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/</w:t>
      </w:r>
      <w:r w:rsidR="007F1F82">
        <w:rPr>
          <w:rFonts w:ascii="Times New Roman" w:hAnsi="Times New Roman" w:cs="Times New Roman"/>
          <w:noProof/>
          <w:sz w:val="24"/>
          <w:szCs w:val="24"/>
          <w:lang w:val="sr-Cyrl-CS"/>
        </w:rPr>
        <w:t>смањење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(0) </w:t>
      </w:r>
      <w:r w:rsidR="007F1F82">
        <w:rPr>
          <w:rFonts w:ascii="Times New Roman" w:hAnsi="Times New Roman" w:cs="Times New Roman"/>
          <w:noProof/>
          <w:sz w:val="24"/>
          <w:szCs w:val="24"/>
          <w:lang w:val="sr-Cyrl-CS"/>
        </w:rPr>
        <w:t>без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7F1F82">
        <w:rPr>
          <w:rFonts w:ascii="Times New Roman" w:hAnsi="Times New Roman" w:cs="Times New Roman"/>
          <w:noProof/>
          <w:sz w:val="24"/>
          <w:szCs w:val="24"/>
          <w:lang w:val="sr-Cyrl-CS"/>
        </w:rPr>
        <w:t>утицаја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/</w:t>
      </w:r>
      <w:r w:rsidR="007F1F82">
        <w:rPr>
          <w:rFonts w:ascii="Times New Roman" w:hAnsi="Times New Roman" w:cs="Times New Roman"/>
          <w:noProof/>
          <w:sz w:val="24"/>
          <w:szCs w:val="24"/>
          <w:lang w:val="sr-Cyrl-CS"/>
        </w:rPr>
        <w:t>промјене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(1) </w:t>
      </w:r>
      <w:r w:rsidR="007F1F82">
        <w:rPr>
          <w:rFonts w:ascii="Times New Roman" w:hAnsi="Times New Roman" w:cs="Times New Roman"/>
          <w:noProof/>
          <w:sz w:val="24"/>
          <w:szCs w:val="24"/>
          <w:lang w:val="sr-Cyrl-CS"/>
        </w:rPr>
        <w:t>умјерено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7F1F82">
        <w:rPr>
          <w:rFonts w:ascii="Times New Roman" w:hAnsi="Times New Roman" w:cs="Times New Roman"/>
          <w:noProof/>
          <w:sz w:val="24"/>
          <w:szCs w:val="24"/>
          <w:lang w:val="sr-Cyrl-CS"/>
        </w:rPr>
        <w:t>ублажавање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/</w:t>
      </w:r>
      <w:r w:rsidR="007F1F82">
        <w:rPr>
          <w:rFonts w:ascii="Times New Roman" w:hAnsi="Times New Roman" w:cs="Times New Roman"/>
          <w:noProof/>
          <w:sz w:val="24"/>
          <w:szCs w:val="24"/>
          <w:lang w:val="sr-Cyrl-CS"/>
        </w:rPr>
        <w:t>повећање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7F1F82">
        <w:rPr>
          <w:rFonts w:ascii="Times New Roman" w:hAnsi="Times New Roman" w:cs="Times New Roman"/>
          <w:noProof/>
          <w:sz w:val="24"/>
          <w:szCs w:val="24"/>
          <w:lang w:val="sr-Cyrl-CS"/>
        </w:rPr>
        <w:t>или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(2) </w:t>
      </w:r>
      <w:r w:rsidR="007F1F82">
        <w:rPr>
          <w:rFonts w:ascii="Times New Roman" w:hAnsi="Times New Roman" w:cs="Times New Roman"/>
          <w:noProof/>
          <w:sz w:val="24"/>
          <w:szCs w:val="24"/>
          <w:lang w:val="sr-Cyrl-CS"/>
        </w:rPr>
        <w:t>знатно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7F1F82">
        <w:rPr>
          <w:rFonts w:ascii="Times New Roman" w:hAnsi="Times New Roman" w:cs="Times New Roman"/>
          <w:noProof/>
          <w:sz w:val="24"/>
          <w:szCs w:val="24"/>
          <w:lang w:val="sr-Cyrl-CS"/>
        </w:rPr>
        <w:t>ублажавање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/</w:t>
      </w:r>
      <w:r w:rsidR="007F1F82">
        <w:rPr>
          <w:rFonts w:ascii="Times New Roman" w:hAnsi="Times New Roman" w:cs="Times New Roman"/>
          <w:noProof/>
          <w:sz w:val="24"/>
          <w:szCs w:val="24"/>
          <w:lang w:val="sr-Cyrl-CS"/>
        </w:rPr>
        <w:t>повећање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</w:p>
    <w:p w14:paraId="29C322D7" w14:textId="0E77E350" w:rsidR="00CB4368" w:rsidRPr="007F1F82" w:rsidRDefault="007F1F82" w:rsidP="00C17BE2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свако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питање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анкетног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обрасца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потребно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навести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само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један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интензитет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смјер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промјене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празна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поља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уписати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само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један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“x”),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као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што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то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наведено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примјеру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слици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испод</w:t>
      </w:r>
      <w:r w:rsidR="00C17BE2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14:paraId="3E1C50D2" w14:textId="77777777" w:rsidR="00CB4368" w:rsidRPr="007F1F82" w:rsidRDefault="00CB4368" w:rsidP="00C17BE2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5F556366" w14:textId="77777777" w:rsidR="00CB4368" w:rsidRPr="007F1F82" w:rsidRDefault="00CB4368" w:rsidP="00C17BE2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7F1F82">
        <w:rPr>
          <w:noProof/>
          <w:lang w:val="sr-Cyrl-CS"/>
        </w:rPr>
        <w:drawing>
          <wp:inline distT="0" distB="0" distL="0" distR="0" wp14:anchorId="3E233435" wp14:editId="67969D1C">
            <wp:extent cx="5941695" cy="163830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94" cy="163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33B76" w14:textId="77777777" w:rsidR="00C17BE2" w:rsidRPr="007F1F82" w:rsidRDefault="00C17BE2" w:rsidP="00C17BE2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679CFDEC" w14:textId="68F196A6" w:rsidR="00F91AC4" w:rsidRPr="007F1F82" w:rsidRDefault="007F1F82" w:rsidP="006E2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Презентација</w:t>
      </w:r>
      <w:r w:rsidR="00F91AC4" w:rsidRPr="007F1F82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резултата</w:t>
      </w:r>
      <w:r w:rsidR="00F91AC4" w:rsidRPr="007F1F82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анкете</w:t>
      </w:r>
    </w:p>
    <w:p w14:paraId="0CC641B2" w14:textId="77777777" w:rsidR="00F91AC4" w:rsidRPr="007F1F82" w:rsidRDefault="00F91AC4" w:rsidP="006E2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2CD2FFEA" w14:textId="56AEAAC7" w:rsidR="006E2645" w:rsidRPr="007F1F82" w:rsidRDefault="007F1F82" w:rsidP="000E1BEA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Анализа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агрег</w:t>
      </w:r>
      <w:r w:rsidR="00666AAC">
        <w:rPr>
          <w:rFonts w:ascii="Times New Roman" w:hAnsi="Times New Roman" w:cs="Times New Roman"/>
          <w:noProof/>
          <w:sz w:val="24"/>
          <w:szCs w:val="24"/>
          <w:lang w:val="sr-Cyrl-CS"/>
        </w:rPr>
        <w:t>ат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них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резултата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КАБ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базирана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1D3981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нето</w:t>
      </w:r>
      <w:r w:rsidR="001D3981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проценту</w:t>
      </w:r>
      <w:r w:rsidR="001D3981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одговоре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питања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понуди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тј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кредитним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стандардима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кредитним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условима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нето</w:t>
      </w:r>
      <w:r w:rsidR="001D3981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проценат</w:t>
      </w:r>
      <w:r w:rsidR="001D3981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1D3981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дефинисан</w:t>
      </w:r>
      <w:r w:rsidR="001D3981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као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разлика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између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збира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учешћа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које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су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одговориле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су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кредитни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стандарди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“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знатно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ублажени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”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“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умјерено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ублажени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”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збира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учешћа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које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су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одговориле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су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кредитни</w:t>
      </w:r>
      <w:r w:rsidR="004B28D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стандарди</w:t>
      </w:r>
      <w:r w:rsidR="004B28D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“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знатно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пооштрени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”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“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умјерено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пооштрени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”.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Позитивна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вриједност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нето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процента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указује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нето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ублажавање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негативна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нето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пооштравање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кредитних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стандарда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Нето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проценат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одговоре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питања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факторима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који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утичу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промјену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кредитних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стандарда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дефинисан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као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разлика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између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учешћа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које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су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одговориле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дати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фактор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допринио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ублажавању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учешћа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које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су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одговориле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допринио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пооштравању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кредитних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стандарда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14:paraId="35B07AF7" w14:textId="354E194C" w:rsidR="000B4E0C" w:rsidRPr="007F1F82" w:rsidRDefault="007F1F82" w:rsidP="000E1BEA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Код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питања</w:t>
      </w:r>
      <w:r w:rsidR="001D3981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потражњи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кредитима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нето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проценат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дефинисан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као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разлика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између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збира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учешћа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које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су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одговориле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потражња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кредитима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“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знатно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смањена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”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“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умјерено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смањена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”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збира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учешћа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које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су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одговориле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потражња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“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знатно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повећана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”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“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умјерено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повећана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”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Позитиван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нето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проценат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указује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већи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број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забиљежио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повећање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потражње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посљедња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три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мјесеца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док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негативан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нето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проценат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указује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то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већи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број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  <w:r w:rsidR="006E264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забиљежио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смањење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потражње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кредитима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Када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lastRenderedPageBreak/>
        <w:t>питању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потражња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кредитима</w:t>
      </w:r>
      <w:r w:rsidR="00764B4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често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пракси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користимо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термин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“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нето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потражња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”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умјесто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термина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нето</w:t>
      </w:r>
      <w:r w:rsidR="004A281F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проценат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Нето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потражња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ће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стога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бити</w:t>
      </w:r>
      <w:r w:rsidR="00AD2140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позитивна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ако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веће</w:t>
      </w:r>
      <w:r w:rsidR="00A650AE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учешће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које</w:t>
      </w:r>
      <w:r w:rsidR="00A650AE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су</w:t>
      </w:r>
      <w:r w:rsidR="00A650AE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извијестиле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порасту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потражње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кредитима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док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негативна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нето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потражња</w:t>
      </w:r>
      <w:r w:rsidR="00A650AE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указује</w:t>
      </w:r>
      <w:r w:rsidR="00A650AE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A650AE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то</w:t>
      </w:r>
      <w:r w:rsidR="00A650AE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="00A650AE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A650AE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веће</w:t>
      </w:r>
      <w:r w:rsidR="00A650AE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учешће</w:t>
      </w:r>
      <w:r w:rsidR="00A650AE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које</w:t>
      </w:r>
      <w:r w:rsidR="00A650AE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су</w:t>
      </w:r>
      <w:r w:rsidR="00A650AE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пријавиле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пад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потражње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кредитима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14:paraId="4E6A3018" w14:textId="74850AC3" w:rsidR="000B4E0C" w:rsidRPr="007F1F82" w:rsidRDefault="007F1F82" w:rsidP="00AD214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Нето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проценат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прави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разлику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између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екстремних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умјерених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одговора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посматра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смјер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интензитет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промјене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),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начин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иста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нумеричка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вриједност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додјељује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екстремним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умјереним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одговорима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сљедећи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начин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: </w:t>
      </w:r>
    </w:p>
    <w:p w14:paraId="5AC3E4CE" w14:textId="77777777" w:rsidR="000B4E0C" w:rsidRPr="007F1F82" w:rsidRDefault="000B4E0C" w:rsidP="000B4E0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4E0C" w:rsidRPr="007F1F82" w14:paraId="77CEC679" w14:textId="77777777" w:rsidTr="00C96A16">
        <w:tc>
          <w:tcPr>
            <w:tcW w:w="4675" w:type="dxa"/>
          </w:tcPr>
          <w:p w14:paraId="282D95BE" w14:textId="6A45E77B" w:rsidR="000B4E0C" w:rsidRPr="007F1F82" w:rsidRDefault="007F1F82" w:rsidP="00C96A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Понуда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кредита</w:t>
            </w:r>
          </w:p>
        </w:tc>
        <w:tc>
          <w:tcPr>
            <w:tcW w:w="4675" w:type="dxa"/>
          </w:tcPr>
          <w:p w14:paraId="77D66ADE" w14:textId="5B116314" w:rsidR="000B4E0C" w:rsidRPr="007F1F82" w:rsidRDefault="007F1F82" w:rsidP="00C96A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Потражања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за</w:t>
            </w:r>
            <w:r w:rsidR="006161E9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кредитима</w:t>
            </w:r>
          </w:p>
        </w:tc>
      </w:tr>
      <w:tr w:rsidR="000B4E0C" w:rsidRPr="007F1F82" w14:paraId="22519080" w14:textId="77777777" w:rsidTr="00C96A16">
        <w:tc>
          <w:tcPr>
            <w:tcW w:w="4675" w:type="dxa"/>
          </w:tcPr>
          <w:p w14:paraId="52A10BAA" w14:textId="34FF6AC3" w:rsidR="000B4E0C" w:rsidRPr="007F1F82" w:rsidRDefault="006161E9" w:rsidP="00C96A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-1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=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знатно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пооштравање</w:t>
            </w:r>
          </w:p>
        </w:tc>
        <w:tc>
          <w:tcPr>
            <w:tcW w:w="4675" w:type="dxa"/>
          </w:tcPr>
          <w:p w14:paraId="07494E68" w14:textId="7C3943D8" w:rsidR="000B4E0C" w:rsidRPr="007F1F82" w:rsidRDefault="00B03743" w:rsidP="00B0374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-</w:t>
            </w:r>
            <w:r w:rsidR="006161E9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1</w:t>
            </w: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=</w:t>
            </w:r>
            <w:r w:rsidR="00764B4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знатно</w:t>
            </w: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смањење</w:t>
            </w:r>
          </w:p>
        </w:tc>
      </w:tr>
      <w:tr w:rsidR="000B4E0C" w:rsidRPr="007F1F82" w14:paraId="17DD2FF2" w14:textId="77777777" w:rsidTr="00C96A16">
        <w:tc>
          <w:tcPr>
            <w:tcW w:w="4675" w:type="dxa"/>
          </w:tcPr>
          <w:p w14:paraId="2E213221" w14:textId="67B88F1D" w:rsidR="000B4E0C" w:rsidRPr="007F1F82" w:rsidRDefault="00AD2140" w:rsidP="00C96A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-1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=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умјерено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пооштравање</w:t>
            </w:r>
          </w:p>
        </w:tc>
        <w:tc>
          <w:tcPr>
            <w:tcW w:w="4675" w:type="dxa"/>
          </w:tcPr>
          <w:p w14:paraId="4A8CD53C" w14:textId="5B983055" w:rsidR="000B4E0C" w:rsidRPr="007F1F82" w:rsidRDefault="00B03743" w:rsidP="00B0374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-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1=</w:t>
            </w:r>
            <w:r w:rsidR="00764B4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умјерено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смањење</w:t>
            </w:r>
          </w:p>
        </w:tc>
      </w:tr>
      <w:tr w:rsidR="000B4E0C" w:rsidRPr="007F1F82" w14:paraId="75835743" w14:textId="77777777" w:rsidTr="00C96A16">
        <w:tc>
          <w:tcPr>
            <w:tcW w:w="4675" w:type="dxa"/>
          </w:tcPr>
          <w:p w14:paraId="1B8525E4" w14:textId="3C11F978" w:rsidR="000B4E0C" w:rsidRPr="007F1F82" w:rsidRDefault="000B4E0C" w:rsidP="00C96A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0 =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без</w:t>
            </w: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утицаја</w:t>
            </w:r>
          </w:p>
        </w:tc>
        <w:tc>
          <w:tcPr>
            <w:tcW w:w="4675" w:type="dxa"/>
          </w:tcPr>
          <w:p w14:paraId="5E0B6089" w14:textId="30F2FA82" w:rsidR="000B4E0C" w:rsidRPr="007F1F82" w:rsidRDefault="000B4E0C" w:rsidP="00C96A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0</w:t>
            </w:r>
            <w:r w:rsidR="00764B4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=</w:t>
            </w:r>
            <w:r w:rsidR="00764B4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без</w:t>
            </w: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утицаја</w:t>
            </w:r>
          </w:p>
        </w:tc>
      </w:tr>
      <w:tr w:rsidR="000B4E0C" w:rsidRPr="007F1F82" w14:paraId="49BCCE1E" w14:textId="77777777" w:rsidTr="00C96A16">
        <w:tc>
          <w:tcPr>
            <w:tcW w:w="4675" w:type="dxa"/>
          </w:tcPr>
          <w:p w14:paraId="4AB789F8" w14:textId="437F1B40" w:rsidR="000B4E0C" w:rsidRPr="007F1F82" w:rsidRDefault="000B4E0C" w:rsidP="00C96A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1 =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 w:themeFill="background1"/>
                <w:lang w:val="sr-Cyrl-CS"/>
              </w:rPr>
              <w:t>умјерено</w:t>
            </w: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ублажавање</w:t>
            </w:r>
          </w:p>
        </w:tc>
        <w:tc>
          <w:tcPr>
            <w:tcW w:w="4675" w:type="dxa"/>
          </w:tcPr>
          <w:p w14:paraId="7E34C6D5" w14:textId="3289D8AB" w:rsidR="000B4E0C" w:rsidRPr="007F1F82" w:rsidRDefault="00B03743" w:rsidP="00B0374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1</w:t>
            </w:r>
            <w:r w:rsidR="00764B4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=</w:t>
            </w:r>
            <w:r w:rsidR="00764B4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умјерено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повећање</w:t>
            </w:r>
          </w:p>
        </w:tc>
      </w:tr>
      <w:tr w:rsidR="000B4E0C" w:rsidRPr="007F1F82" w14:paraId="0699C86C" w14:textId="77777777" w:rsidTr="00C96A16">
        <w:tc>
          <w:tcPr>
            <w:tcW w:w="4675" w:type="dxa"/>
          </w:tcPr>
          <w:p w14:paraId="6B3C2EBC" w14:textId="38006881" w:rsidR="000B4E0C" w:rsidRPr="007F1F82" w:rsidRDefault="006161E9" w:rsidP="00C96A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1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=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знатно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ублажавање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4675" w:type="dxa"/>
          </w:tcPr>
          <w:p w14:paraId="7ED9DA54" w14:textId="48FC4BED" w:rsidR="000B4E0C" w:rsidRPr="007F1F82" w:rsidRDefault="006161E9" w:rsidP="00B0374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1</w:t>
            </w:r>
            <w:r w:rsidR="00764B4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=</w:t>
            </w:r>
            <w:r w:rsidR="00764B4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знатно</w:t>
            </w:r>
            <w:r w:rsidR="00B03743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повећање</w:t>
            </w:r>
          </w:p>
        </w:tc>
      </w:tr>
    </w:tbl>
    <w:p w14:paraId="54AA8D1B" w14:textId="77777777" w:rsidR="000B4E0C" w:rsidRPr="007F1F82" w:rsidRDefault="000B4E0C" w:rsidP="000B4E0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14:paraId="2DF435A7" w14:textId="77777777" w:rsidR="000B4E0C" w:rsidRPr="007F1F82" w:rsidRDefault="000B4E0C" w:rsidP="000B4E0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14:paraId="0CBB1047" w14:textId="3DA69530" w:rsidR="000B4E0C" w:rsidRPr="007F1F82" w:rsidRDefault="007F1F82" w:rsidP="00AD214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обзиром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то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испитаник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одговара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избором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једне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пет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опција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одговоре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сваку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пет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опција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потребно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конвертовати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бројеве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тако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што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им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додјељују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нумеричке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вриједности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распону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–</w:t>
      </w:r>
      <w:r w:rsidR="00271FA4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1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</w:t>
      </w:r>
      <w:r w:rsidR="00271FA4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1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14:paraId="7F6C27A4" w14:textId="77777777" w:rsidR="000B4E0C" w:rsidRPr="007F1F82" w:rsidRDefault="000B4E0C" w:rsidP="000B4E0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7339B317" w14:textId="52554CD6" w:rsidR="000B4E0C" w:rsidRPr="007F1F82" w:rsidRDefault="007F1F82" w:rsidP="000E1BEA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Поред</w:t>
      </w:r>
      <w:r w:rsidR="00964567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нето</w:t>
      </w:r>
      <w:r w:rsidR="00964567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процента</w:t>
      </w:r>
      <w:r w:rsidR="00964567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као</w:t>
      </w:r>
      <w:r w:rsidR="00964567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мјера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статистичку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анализу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резултата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анкете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користи</w:t>
      </w:r>
      <w:r w:rsidR="00964567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дифузни</w:t>
      </w:r>
      <w:r w:rsidR="000B4E0C" w:rsidRPr="007F1F82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индекс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Дифузни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индекс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разлику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нето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процента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показује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смјер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интензитет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промјене</w:t>
      </w:r>
      <w:r w:rsidR="006161E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6161E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нивоу</w:t>
      </w:r>
      <w:r w:rsidR="006161E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појединачне</w:t>
      </w:r>
      <w:r w:rsidR="006161E9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банке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начин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одговори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избором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једне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пет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опција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конвертују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бројеве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тако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што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им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додјељују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нумеричке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вриједности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распону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–1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1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сљедећи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начин</w:t>
      </w:r>
      <w:r w:rsidR="000B4E0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4E0C" w:rsidRPr="007F1F82" w14:paraId="3DFA9FA3" w14:textId="77777777" w:rsidTr="00C96A16">
        <w:tc>
          <w:tcPr>
            <w:tcW w:w="4675" w:type="dxa"/>
          </w:tcPr>
          <w:p w14:paraId="07986495" w14:textId="4B8709EF" w:rsidR="000B4E0C" w:rsidRPr="007F1F82" w:rsidRDefault="007F1F82" w:rsidP="00C96A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Понуда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кредита</w:t>
            </w:r>
          </w:p>
        </w:tc>
        <w:tc>
          <w:tcPr>
            <w:tcW w:w="4675" w:type="dxa"/>
          </w:tcPr>
          <w:p w14:paraId="7C5758E7" w14:textId="586FCC8E" w:rsidR="000B4E0C" w:rsidRPr="007F1F82" w:rsidRDefault="007F1F82" w:rsidP="00C96A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Потражања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за</w:t>
            </w:r>
            <w:r w:rsidR="00125AF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кредитима</w:t>
            </w:r>
          </w:p>
        </w:tc>
      </w:tr>
      <w:tr w:rsidR="000B4E0C" w:rsidRPr="007F1F82" w14:paraId="004FFFBE" w14:textId="77777777" w:rsidTr="00C96A16">
        <w:tc>
          <w:tcPr>
            <w:tcW w:w="4675" w:type="dxa"/>
          </w:tcPr>
          <w:p w14:paraId="52CB04A9" w14:textId="4E8FE202" w:rsidR="000B4E0C" w:rsidRPr="007F1F82" w:rsidRDefault="000E1BEA" w:rsidP="00C96A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-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1 =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знатно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пооштравање</w:t>
            </w:r>
          </w:p>
        </w:tc>
        <w:tc>
          <w:tcPr>
            <w:tcW w:w="4675" w:type="dxa"/>
          </w:tcPr>
          <w:p w14:paraId="517E9612" w14:textId="6EDC63CC" w:rsidR="000B4E0C" w:rsidRPr="007F1F82" w:rsidRDefault="00A27419" w:rsidP="00A2741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-</w:t>
            </w:r>
            <w:r w:rsidR="00125AF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1</w:t>
            </w:r>
            <w:r w:rsidR="00764B4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=</w:t>
            </w:r>
            <w:r w:rsidR="00764B4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знатно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смањење</w:t>
            </w:r>
          </w:p>
        </w:tc>
      </w:tr>
      <w:tr w:rsidR="000B4E0C" w:rsidRPr="007F1F82" w14:paraId="2577C912" w14:textId="77777777" w:rsidTr="00C96A16">
        <w:tc>
          <w:tcPr>
            <w:tcW w:w="4675" w:type="dxa"/>
          </w:tcPr>
          <w:p w14:paraId="1812CF47" w14:textId="08A59662" w:rsidR="000B4E0C" w:rsidRPr="007F1F82" w:rsidRDefault="000E1BEA" w:rsidP="00C96A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-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0,5 =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умјерено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пооштравање</w:t>
            </w:r>
          </w:p>
        </w:tc>
        <w:tc>
          <w:tcPr>
            <w:tcW w:w="4675" w:type="dxa"/>
          </w:tcPr>
          <w:p w14:paraId="24A69390" w14:textId="7D6DAF3E" w:rsidR="000B4E0C" w:rsidRPr="007F1F82" w:rsidRDefault="00A27419" w:rsidP="00A2741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-</w:t>
            </w:r>
            <w:r w:rsidR="00125AF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0,5</w:t>
            </w:r>
            <w:r w:rsidR="00764B4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=</w:t>
            </w:r>
            <w:r w:rsidR="00764B4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умјерено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смањење</w:t>
            </w:r>
          </w:p>
        </w:tc>
      </w:tr>
      <w:tr w:rsidR="000B4E0C" w:rsidRPr="007F1F82" w14:paraId="1AEFF337" w14:textId="77777777" w:rsidTr="00C96A16">
        <w:tc>
          <w:tcPr>
            <w:tcW w:w="4675" w:type="dxa"/>
          </w:tcPr>
          <w:p w14:paraId="7F6987B5" w14:textId="1FE00DDB" w:rsidR="000B4E0C" w:rsidRPr="007F1F82" w:rsidRDefault="000B4E0C" w:rsidP="00C96A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0 =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без</w:t>
            </w: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утицаја</w:t>
            </w:r>
          </w:p>
        </w:tc>
        <w:tc>
          <w:tcPr>
            <w:tcW w:w="4675" w:type="dxa"/>
          </w:tcPr>
          <w:p w14:paraId="0E883899" w14:textId="2C64E53E" w:rsidR="000B4E0C" w:rsidRPr="007F1F82" w:rsidRDefault="000B4E0C" w:rsidP="00C96A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0</w:t>
            </w:r>
            <w:r w:rsidR="00764B4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=</w:t>
            </w:r>
            <w:r w:rsidR="00764B4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без</w:t>
            </w: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утицаја</w:t>
            </w:r>
          </w:p>
        </w:tc>
      </w:tr>
      <w:tr w:rsidR="000B4E0C" w:rsidRPr="007F1F82" w14:paraId="518D6114" w14:textId="77777777" w:rsidTr="00C96A16">
        <w:tc>
          <w:tcPr>
            <w:tcW w:w="4675" w:type="dxa"/>
          </w:tcPr>
          <w:p w14:paraId="02525036" w14:textId="1079A77B" w:rsidR="000B4E0C" w:rsidRPr="007F1F82" w:rsidRDefault="000B4E0C" w:rsidP="00C96A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0,5 =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умјерено</w:t>
            </w: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ублажавање</w:t>
            </w:r>
          </w:p>
        </w:tc>
        <w:tc>
          <w:tcPr>
            <w:tcW w:w="4675" w:type="dxa"/>
          </w:tcPr>
          <w:p w14:paraId="2ADBE92E" w14:textId="7DA8EE6F" w:rsidR="000B4E0C" w:rsidRPr="007F1F82" w:rsidRDefault="00125AFC" w:rsidP="00A2741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0,5</w:t>
            </w:r>
            <w:r w:rsidR="00764B4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=</w:t>
            </w:r>
            <w:r w:rsidR="00764B4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умјерено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повећање</w:t>
            </w:r>
          </w:p>
        </w:tc>
      </w:tr>
      <w:tr w:rsidR="000B4E0C" w:rsidRPr="007F1F82" w14:paraId="5E87FB18" w14:textId="77777777" w:rsidTr="00C96A16">
        <w:tc>
          <w:tcPr>
            <w:tcW w:w="4675" w:type="dxa"/>
          </w:tcPr>
          <w:p w14:paraId="37D2252B" w14:textId="5E5C1D89" w:rsidR="000B4E0C" w:rsidRPr="007F1F82" w:rsidRDefault="000B4E0C" w:rsidP="00C96A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1 =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знатно</w:t>
            </w: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ублажавање</w:t>
            </w: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4675" w:type="dxa"/>
          </w:tcPr>
          <w:p w14:paraId="13E8A17D" w14:textId="067E5E6B" w:rsidR="000B4E0C" w:rsidRPr="007F1F82" w:rsidRDefault="00125AFC" w:rsidP="00125AF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1</w:t>
            </w:r>
            <w:r w:rsidR="00764B4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0B4E0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=</w:t>
            </w:r>
            <w:r w:rsidR="00764B4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знатно</w:t>
            </w:r>
            <w:r w:rsidR="00A27419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повећање</w:t>
            </w:r>
          </w:p>
        </w:tc>
      </w:tr>
    </w:tbl>
    <w:p w14:paraId="21B8BAE3" w14:textId="77777777" w:rsidR="000B4E0C" w:rsidRPr="007F1F82" w:rsidRDefault="000B4E0C" w:rsidP="000B4E0C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14:paraId="46E650E9" w14:textId="18DAD2CA" w:rsidR="000E1BEA" w:rsidRPr="007F1F82" w:rsidRDefault="007F1F82" w:rsidP="000B4E0C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Тумачење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дифузног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инде</w:t>
      </w:r>
      <w:r w:rsidR="00666AAC">
        <w:rPr>
          <w:rFonts w:ascii="Times New Roman" w:hAnsi="Times New Roman" w:cs="Times New Roman"/>
          <w:noProof/>
          <w:sz w:val="24"/>
          <w:szCs w:val="24"/>
          <w:lang w:val="sr-Cyrl-CS"/>
        </w:rPr>
        <w:t>кс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слиједи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исту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логику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као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тумачење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нето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процента</w:t>
      </w:r>
      <w:r w:rsidR="000E1BEA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14:paraId="0CBAC833" w14:textId="196F6F82" w:rsidR="00C554A5" w:rsidRPr="007F1F82" w:rsidRDefault="007F1F82" w:rsidP="000B4E0C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наставку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дато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значење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појединих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појмова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који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користе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анкетном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обрасцу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кредитној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активности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:</w:t>
      </w:r>
    </w:p>
    <w:p w14:paraId="749EFFED" w14:textId="77777777" w:rsidR="00C554A5" w:rsidRPr="007F1F82" w:rsidRDefault="00C554A5" w:rsidP="000B4E0C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54A5" w:rsidRPr="007F1F82" w14:paraId="5ED29349" w14:textId="77777777" w:rsidTr="00C96A16">
        <w:tc>
          <w:tcPr>
            <w:tcW w:w="4675" w:type="dxa"/>
          </w:tcPr>
          <w:p w14:paraId="12CD182B" w14:textId="558A90BF" w:rsidR="00C554A5" w:rsidRPr="007F1F82" w:rsidRDefault="007F1F82" w:rsidP="00C96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  <w:t>Појам</w:t>
            </w:r>
          </w:p>
        </w:tc>
        <w:tc>
          <w:tcPr>
            <w:tcW w:w="4675" w:type="dxa"/>
          </w:tcPr>
          <w:p w14:paraId="6124E0D7" w14:textId="287C22FD" w:rsidR="00C554A5" w:rsidRPr="007F1F82" w:rsidRDefault="007F1F82" w:rsidP="00C96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  <w:t>Значење</w:t>
            </w:r>
          </w:p>
        </w:tc>
      </w:tr>
      <w:tr w:rsidR="00C554A5" w:rsidRPr="007F1F82" w14:paraId="176BEF90" w14:textId="77777777" w:rsidTr="00C96A16">
        <w:tc>
          <w:tcPr>
            <w:tcW w:w="4675" w:type="dxa"/>
          </w:tcPr>
          <w:p w14:paraId="4F694909" w14:textId="4CDD55B3" w:rsidR="00C554A5" w:rsidRPr="007F1F82" w:rsidRDefault="007F1F82" w:rsidP="00C96A1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Каматна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маржа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4675" w:type="dxa"/>
          </w:tcPr>
          <w:p w14:paraId="1523BF3B" w14:textId="463CEA5C" w:rsidR="00C554A5" w:rsidRPr="007F1F82" w:rsidRDefault="007F1F82" w:rsidP="00C96A1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Разлика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између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активних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пасивних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ефективних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каматних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стопа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банке</w:t>
            </w:r>
          </w:p>
        </w:tc>
      </w:tr>
      <w:tr w:rsidR="00C554A5" w:rsidRPr="007F1F82" w14:paraId="68C0CD9C" w14:textId="77777777" w:rsidTr="00C96A16">
        <w:tc>
          <w:tcPr>
            <w:tcW w:w="4675" w:type="dxa"/>
          </w:tcPr>
          <w:p w14:paraId="22D21279" w14:textId="6A3345B5" w:rsidR="00C554A5" w:rsidRPr="007F1F82" w:rsidRDefault="007F1F82" w:rsidP="00C96A1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lastRenderedPageBreak/>
              <w:t>Колатерал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4675" w:type="dxa"/>
          </w:tcPr>
          <w:p w14:paraId="701B7768" w14:textId="2230301C" w:rsidR="00C554A5" w:rsidRPr="007F1F82" w:rsidRDefault="007F1F82" w:rsidP="00C96A1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Обезбјеђење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које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дужник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даје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банци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за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отплату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/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или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кредитних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линија</w:t>
            </w:r>
          </w:p>
        </w:tc>
      </w:tr>
      <w:tr w:rsidR="00C554A5" w:rsidRPr="007F1F82" w14:paraId="5D0CEB2D" w14:textId="77777777" w:rsidTr="00C96A16">
        <w:tc>
          <w:tcPr>
            <w:tcW w:w="4675" w:type="dxa"/>
          </w:tcPr>
          <w:p w14:paraId="479CCB30" w14:textId="1BA631A8" w:rsidR="00C554A5" w:rsidRPr="007F1F82" w:rsidRDefault="007F1F82" w:rsidP="00C96A1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Кредити</w:t>
            </w:r>
          </w:p>
        </w:tc>
        <w:tc>
          <w:tcPr>
            <w:tcW w:w="4675" w:type="dxa"/>
          </w:tcPr>
          <w:p w14:paraId="652BD165" w14:textId="47F37841" w:rsidR="00C554A5" w:rsidRPr="007F1F82" w:rsidRDefault="007F1F82" w:rsidP="00C96A1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Новчана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средства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одобрена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предузећима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становништву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од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стране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банке</w:t>
            </w:r>
          </w:p>
        </w:tc>
      </w:tr>
      <w:tr w:rsidR="00C554A5" w:rsidRPr="007F1F82" w14:paraId="6186EFB7" w14:textId="77777777" w:rsidTr="00C96A16">
        <w:tc>
          <w:tcPr>
            <w:tcW w:w="4675" w:type="dxa"/>
          </w:tcPr>
          <w:p w14:paraId="53A7153B" w14:textId="3E185958" w:rsidR="00C554A5" w:rsidRPr="007F1F82" w:rsidRDefault="007F1F82" w:rsidP="00C96A1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Кредитна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линија</w:t>
            </w:r>
          </w:p>
        </w:tc>
        <w:tc>
          <w:tcPr>
            <w:tcW w:w="4675" w:type="dxa"/>
          </w:tcPr>
          <w:p w14:paraId="4BE66A40" w14:textId="30E616EF" w:rsidR="00C554A5" w:rsidRPr="007F1F82" w:rsidRDefault="007F1F82" w:rsidP="00C96A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Максималан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износ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који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банка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може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одобрити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предузећу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било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којем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тренутку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односно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максималан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износ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који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предузеће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може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повући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уколико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му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потребна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додатна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новчана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средства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одређеном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периоду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при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чему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тај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износ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може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бити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обновљен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C554A5" w:rsidRPr="007F1F82" w14:paraId="0744D9EE" w14:textId="77777777" w:rsidTr="00C96A16">
        <w:tc>
          <w:tcPr>
            <w:tcW w:w="4675" w:type="dxa"/>
          </w:tcPr>
          <w:p w14:paraId="10A730DA" w14:textId="4CB0BAFF" w:rsidR="00C554A5" w:rsidRPr="007F1F82" w:rsidRDefault="007F1F82" w:rsidP="00C96A1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Кредитни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стандарди</w:t>
            </w:r>
          </w:p>
        </w:tc>
        <w:tc>
          <w:tcPr>
            <w:tcW w:w="4675" w:type="dxa"/>
          </w:tcPr>
          <w:p w14:paraId="7909C7D9" w14:textId="19C0601B" w:rsidR="00C554A5" w:rsidRPr="007F1F82" w:rsidRDefault="007F1F82" w:rsidP="00C96A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Кредитни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стандарди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интерне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смјернице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или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критериј</w:t>
            </w:r>
            <w:r w:rsidR="00666AAC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одобравања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банке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који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дефинисани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прије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потписивања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уговора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Кредитни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стандарди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дефинишу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услове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које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морају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да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испуне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правна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или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физичка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лица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да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би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могли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да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аплицирају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за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бонитет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дужника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прихватљивост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колатерала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висина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дохотка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доб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радни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статус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итд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.),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укључујући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интерна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упутства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промјене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политици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одобрења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њеној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примјени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C554A5" w:rsidRPr="007F1F82" w14:paraId="42171895" w14:textId="77777777" w:rsidTr="00C96A16">
        <w:tc>
          <w:tcPr>
            <w:tcW w:w="4675" w:type="dxa"/>
          </w:tcPr>
          <w:p w14:paraId="776929F1" w14:textId="2A4DA6B9" w:rsidR="00C554A5" w:rsidRPr="007F1F82" w:rsidRDefault="007F1F82" w:rsidP="00C96A1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Кредитни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услови</w:t>
            </w:r>
          </w:p>
        </w:tc>
        <w:tc>
          <w:tcPr>
            <w:tcW w:w="4675" w:type="dxa"/>
          </w:tcPr>
          <w:p w14:paraId="187B0262" w14:textId="1503BD36" w:rsidR="00C554A5" w:rsidRPr="007F1F82" w:rsidRDefault="007F1F82" w:rsidP="00C96A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Обавезни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елементи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из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уговора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кредиту</w:t>
            </w:r>
            <w:r w:rsidR="00764B4C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,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односно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кредитној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линији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између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банке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дужника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износ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каматна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стопа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трошкови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провизије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накнада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захтијевани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колатерал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или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гаранције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које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дужник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треба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да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обезбиједи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рочност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итд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.).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Утврђују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зависности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од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бонитета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дужника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могу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мијењати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истовремено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кредитним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стандардима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или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независно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од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њих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C554A5" w:rsidRPr="007F1F82" w14:paraId="50F1A0D3" w14:textId="77777777" w:rsidTr="00C96A16">
        <w:tc>
          <w:tcPr>
            <w:tcW w:w="4675" w:type="dxa"/>
          </w:tcPr>
          <w:p w14:paraId="0B16E1B3" w14:textId="5A39FFE3" w:rsidR="00C554A5" w:rsidRPr="007F1F82" w:rsidRDefault="007F1F82" w:rsidP="00C96A1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Перцепција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ризика</w:t>
            </w:r>
          </w:p>
        </w:tc>
        <w:tc>
          <w:tcPr>
            <w:tcW w:w="4675" w:type="dxa"/>
          </w:tcPr>
          <w:p w14:paraId="07DD5424" w14:textId="0B44248E" w:rsidR="00C554A5" w:rsidRPr="007F1F82" w:rsidRDefault="007F1F82" w:rsidP="00C96A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Виђење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банке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системском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ризику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развоју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опште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економске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ситуације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положају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одређене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дјелатности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или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предузећа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кредитне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способности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дужника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као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захтијеваног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колатерала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.</w:t>
            </w:r>
          </w:p>
        </w:tc>
      </w:tr>
      <w:tr w:rsidR="00C554A5" w:rsidRPr="007F1F82" w14:paraId="1A3C15EF" w14:textId="77777777" w:rsidTr="00C96A16">
        <w:tc>
          <w:tcPr>
            <w:tcW w:w="4675" w:type="dxa"/>
          </w:tcPr>
          <w:p w14:paraId="60B39DE2" w14:textId="4BB6417F" w:rsidR="00C554A5" w:rsidRPr="007F1F82" w:rsidRDefault="007F1F82" w:rsidP="00C96A1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Потражња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за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кредитима</w:t>
            </w:r>
          </w:p>
        </w:tc>
        <w:tc>
          <w:tcPr>
            <w:tcW w:w="4675" w:type="dxa"/>
          </w:tcPr>
          <w:p w14:paraId="65BCE222" w14:textId="0B7010BC" w:rsidR="00C554A5" w:rsidRPr="007F1F82" w:rsidRDefault="007F1F82" w:rsidP="00C96A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Процјена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укупних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потреба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за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кредитима</w:t>
            </w:r>
            <w:r w:rsidR="006161E9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од</w:t>
            </w:r>
            <w:r w:rsidR="006161E9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стране</w:t>
            </w:r>
            <w:r w:rsidR="006161E9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предузећа</w:t>
            </w:r>
            <w:r w:rsidR="006161E9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становништва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укључујући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обнављање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кредита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а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не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узимајући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обзир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уобичајене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сезонске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флуктуације</w:t>
            </w:r>
            <w:r w:rsidR="00C554A5" w:rsidRPr="007F1F82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.</w:t>
            </w:r>
          </w:p>
        </w:tc>
      </w:tr>
    </w:tbl>
    <w:p w14:paraId="0E2234AA" w14:textId="22BD42C5" w:rsidR="00C602E8" w:rsidRDefault="00C602E8" w:rsidP="000B4E0C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51B74061" w14:textId="7E2DA7A5" w:rsidR="003E7B1F" w:rsidRDefault="003E7B1F" w:rsidP="000B4E0C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3885600D" w14:textId="77777777" w:rsidR="003E7B1F" w:rsidRPr="007F1F82" w:rsidRDefault="003E7B1F" w:rsidP="000B4E0C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514B1222" w14:textId="5CBE1748" w:rsidR="00C17BE2" w:rsidRPr="007F1F82" w:rsidRDefault="007F1F82" w:rsidP="00C17BE2">
      <w:pPr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lastRenderedPageBreak/>
        <w:t>Дисеминација</w:t>
      </w:r>
      <w:r w:rsidR="00C602E8" w:rsidRPr="007F1F82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анкете</w:t>
      </w:r>
    </w:p>
    <w:p w14:paraId="48037AEB" w14:textId="1273889F" w:rsidR="00C554A5" w:rsidRPr="00233D18" w:rsidRDefault="007F1F82" w:rsidP="00D95243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Резултати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Анкете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кредитној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активности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банака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објављују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квартално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два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мјесеца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истеку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извјештајног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квартала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расположиви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су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33D18">
        <w:rPr>
          <w:rFonts w:ascii="Times New Roman" w:hAnsi="Times New Roman" w:cs="Times New Roman"/>
          <w:noProof/>
          <w:sz w:val="24"/>
          <w:szCs w:val="24"/>
          <w:lang w:val="sr-Cyrl-CS"/>
        </w:rPr>
        <w:t>в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еб</w:t>
      </w:r>
      <w:r w:rsidR="00764B4C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страници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Централне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банке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БиХ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оквиру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фолдера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Статистика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подфолдер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Статистичке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информације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линк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C554A5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>:</w:t>
      </w:r>
      <w:r w:rsidR="00C602E8"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hyperlink r:id="rId6" w:history="1">
        <w:r w:rsidR="00233D18">
          <w:rPr>
            <w:rStyle w:val="Hyperlink"/>
            <w:rFonts w:ascii="Times New Roman" w:hAnsi="Times New Roman" w:cs="Times New Roman"/>
            <w:noProof/>
            <w:sz w:val="24"/>
            <w:szCs w:val="24"/>
            <w:lang w:val="sr-Latn-CS"/>
          </w:rPr>
          <w:t>https</w:t>
        </w:r>
        <w:r w:rsidR="00C554A5" w:rsidRPr="00233D18">
          <w:rPr>
            <w:rStyle w:val="Hyperlink"/>
            <w:rFonts w:ascii="Times New Roman" w:hAnsi="Times New Roman" w:cs="Times New Roman"/>
            <w:noProof/>
            <w:sz w:val="24"/>
            <w:szCs w:val="24"/>
            <w:lang w:val="sr-Latn-CS"/>
          </w:rPr>
          <w:t>://www.</w:t>
        </w:r>
        <w:r w:rsidR="00233D18">
          <w:rPr>
            <w:rStyle w:val="Hyperlink"/>
            <w:rFonts w:ascii="Times New Roman" w:hAnsi="Times New Roman" w:cs="Times New Roman"/>
            <w:noProof/>
            <w:sz w:val="24"/>
            <w:szCs w:val="24"/>
            <w:lang w:val="sr-Latn-CS"/>
          </w:rPr>
          <w:t>cbbh</w:t>
        </w:r>
        <w:r w:rsidR="00C554A5" w:rsidRPr="00233D18">
          <w:rPr>
            <w:rStyle w:val="Hyperlink"/>
            <w:rFonts w:ascii="Times New Roman" w:hAnsi="Times New Roman" w:cs="Times New Roman"/>
            <w:noProof/>
            <w:sz w:val="24"/>
            <w:szCs w:val="24"/>
            <w:lang w:val="sr-Latn-CS"/>
          </w:rPr>
          <w:t>.</w:t>
        </w:r>
        <w:r w:rsidR="00233D18">
          <w:rPr>
            <w:rStyle w:val="Hyperlink"/>
            <w:rFonts w:ascii="Times New Roman" w:hAnsi="Times New Roman" w:cs="Times New Roman"/>
            <w:noProof/>
            <w:sz w:val="24"/>
            <w:szCs w:val="24"/>
            <w:lang w:val="sr-Latn-CS"/>
          </w:rPr>
          <w:t>ba</w:t>
        </w:r>
        <w:r w:rsidR="00C554A5" w:rsidRPr="00233D18">
          <w:rPr>
            <w:rStyle w:val="Hyperlink"/>
            <w:rFonts w:ascii="Times New Roman" w:hAnsi="Times New Roman" w:cs="Times New Roman"/>
            <w:noProof/>
            <w:sz w:val="24"/>
            <w:szCs w:val="24"/>
            <w:lang w:val="sr-Latn-CS"/>
          </w:rPr>
          <w:t>/</w:t>
        </w:r>
        <w:r w:rsidR="00233D18">
          <w:rPr>
            <w:rStyle w:val="Hyperlink"/>
            <w:rFonts w:ascii="Times New Roman" w:hAnsi="Times New Roman" w:cs="Times New Roman"/>
            <w:noProof/>
            <w:sz w:val="24"/>
            <w:szCs w:val="24"/>
            <w:lang w:val="sr-Latn-CS"/>
          </w:rPr>
          <w:t>Content</w:t>
        </w:r>
        <w:r w:rsidR="00C554A5" w:rsidRPr="00233D18">
          <w:rPr>
            <w:rStyle w:val="Hyperlink"/>
            <w:rFonts w:ascii="Times New Roman" w:hAnsi="Times New Roman" w:cs="Times New Roman"/>
            <w:noProof/>
            <w:sz w:val="24"/>
            <w:szCs w:val="24"/>
            <w:lang w:val="sr-Latn-CS"/>
          </w:rPr>
          <w:t>/</w:t>
        </w:r>
        <w:r w:rsidR="00233D18">
          <w:rPr>
            <w:rStyle w:val="Hyperlink"/>
            <w:rFonts w:ascii="Times New Roman" w:hAnsi="Times New Roman" w:cs="Times New Roman"/>
            <w:noProof/>
            <w:sz w:val="24"/>
            <w:szCs w:val="24"/>
            <w:lang w:val="sr-Latn-CS"/>
          </w:rPr>
          <w:t>Read</w:t>
        </w:r>
        <w:r w:rsidR="00C554A5" w:rsidRPr="00233D18">
          <w:rPr>
            <w:rStyle w:val="Hyperlink"/>
            <w:rFonts w:ascii="Times New Roman" w:hAnsi="Times New Roman" w:cs="Times New Roman"/>
            <w:noProof/>
            <w:sz w:val="24"/>
            <w:szCs w:val="24"/>
            <w:lang w:val="sr-Latn-CS"/>
          </w:rPr>
          <w:t>/8</w:t>
        </w:r>
      </w:hyperlink>
      <w:r w:rsidR="00C554A5" w:rsidRPr="00233D18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488F57AC" w14:textId="77777777" w:rsidR="00C602E8" w:rsidRPr="007F1F82" w:rsidRDefault="00C602E8" w:rsidP="00D95243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Pr="007F1F82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</w:p>
    <w:sectPr w:rsidR="00C602E8" w:rsidRPr="007F1F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DA"/>
    <w:rsid w:val="000660E6"/>
    <w:rsid w:val="00080289"/>
    <w:rsid w:val="000B4E0C"/>
    <w:rsid w:val="000E0446"/>
    <w:rsid w:val="000E0588"/>
    <w:rsid w:val="000E1BEA"/>
    <w:rsid w:val="000F529F"/>
    <w:rsid w:val="00102652"/>
    <w:rsid w:val="00125AFC"/>
    <w:rsid w:val="001A49EA"/>
    <w:rsid w:val="001B1AA1"/>
    <w:rsid w:val="001D3981"/>
    <w:rsid w:val="00233D18"/>
    <w:rsid w:val="00271FA4"/>
    <w:rsid w:val="002C3766"/>
    <w:rsid w:val="002D14FE"/>
    <w:rsid w:val="00303D9D"/>
    <w:rsid w:val="00305F8C"/>
    <w:rsid w:val="003C2C41"/>
    <w:rsid w:val="003E7B1F"/>
    <w:rsid w:val="004A281F"/>
    <w:rsid w:val="004B28DF"/>
    <w:rsid w:val="004C6F81"/>
    <w:rsid w:val="00511684"/>
    <w:rsid w:val="00525B4F"/>
    <w:rsid w:val="006161E9"/>
    <w:rsid w:val="00666AAC"/>
    <w:rsid w:val="006733C3"/>
    <w:rsid w:val="006E2645"/>
    <w:rsid w:val="007459A5"/>
    <w:rsid w:val="00764B4C"/>
    <w:rsid w:val="007B6FDC"/>
    <w:rsid w:val="007E1A12"/>
    <w:rsid w:val="007F1F82"/>
    <w:rsid w:val="00833811"/>
    <w:rsid w:val="00871C56"/>
    <w:rsid w:val="008C0227"/>
    <w:rsid w:val="00964567"/>
    <w:rsid w:val="009C3F6B"/>
    <w:rsid w:val="009C416C"/>
    <w:rsid w:val="00A27419"/>
    <w:rsid w:val="00A64396"/>
    <w:rsid w:val="00A650AE"/>
    <w:rsid w:val="00AD2140"/>
    <w:rsid w:val="00B03743"/>
    <w:rsid w:val="00B152DA"/>
    <w:rsid w:val="00B44151"/>
    <w:rsid w:val="00BB3AE3"/>
    <w:rsid w:val="00C17BE2"/>
    <w:rsid w:val="00C533ED"/>
    <w:rsid w:val="00C554A5"/>
    <w:rsid w:val="00C602E8"/>
    <w:rsid w:val="00CB4368"/>
    <w:rsid w:val="00D47CA8"/>
    <w:rsid w:val="00D81347"/>
    <w:rsid w:val="00D95243"/>
    <w:rsid w:val="00DC674D"/>
    <w:rsid w:val="00DE3BF5"/>
    <w:rsid w:val="00E011BC"/>
    <w:rsid w:val="00E1485B"/>
    <w:rsid w:val="00E421D8"/>
    <w:rsid w:val="00F56CA9"/>
    <w:rsid w:val="00F91AC4"/>
    <w:rsid w:val="00FC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3667"/>
  <w15:chartTrackingRefBased/>
  <w15:docId w15:val="{11C95694-7674-49E6-B379-DC161D4A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B4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54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03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bbh.ba/Content/Read/8" TargetMode="External"/><Relationship Id="rId5" Type="http://schemas.openxmlformats.org/officeDocument/2006/relationships/image" Target="media/image1.emf"/><Relationship Id="rId4" Type="http://schemas.openxmlformats.org/officeDocument/2006/relationships/hyperlink" Target="https://www.ecb.europa.eu/stats/ecb_surveys/bank_lending_survey/html/index.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Janjic</dc:creator>
  <cp:keywords/>
  <dc:description/>
  <cp:lastModifiedBy>Jelena Obradovic</cp:lastModifiedBy>
  <cp:revision>11</cp:revision>
  <dcterms:created xsi:type="dcterms:W3CDTF">2025-10-16T21:12:00Z</dcterms:created>
  <dcterms:modified xsi:type="dcterms:W3CDTF">2025-10-21T06:19:00Z</dcterms:modified>
</cp:coreProperties>
</file>